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69258">
      <w:pPr>
        <w:pageBreakBefore w:val="0"/>
        <w:wordWrap/>
        <w:topLinePunct w:val="0"/>
        <w:bidi w:val="0"/>
        <w:spacing w:line="56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color w:val="auto"/>
          <w:spacing w:val="-4"/>
          <w:sz w:val="44"/>
          <w:szCs w:val="44"/>
          <w:highlight w:val="none"/>
          <w:lang w:eastAsia="zh-CN"/>
        </w:rPr>
        <w:t>技术服务合同</w:t>
      </w:r>
    </w:p>
    <w:p w14:paraId="1EE90C8B">
      <w:pPr>
        <w:pageBreakBefore w:val="0"/>
        <w:wordWrap/>
        <w:topLinePunct w:val="0"/>
        <w:bidi w:val="0"/>
        <w:spacing w:line="560" w:lineRule="exact"/>
        <w:jc w:val="center"/>
        <w:rPr>
          <w:rFonts w:hint="eastAsia" w:ascii="仿宋_GB2312" w:hAnsi="仿宋_GB2312" w:eastAsia="仿宋_GB2312" w:cs="仿宋_GB2312"/>
          <w:color w:val="auto"/>
          <w:kern w:val="0"/>
          <w:sz w:val="32"/>
          <w:szCs w:val="32"/>
          <w:highlight w:val="none"/>
        </w:rPr>
      </w:pPr>
    </w:p>
    <w:p w14:paraId="6D92EA6A">
      <w:pPr>
        <w:pageBreakBefore w:val="0"/>
        <w:wordWrap/>
        <w:topLinePunct w:val="0"/>
        <w:bidi w:val="0"/>
        <w:spacing w:line="560" w:lineRule="exact"/>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合同编号：[</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p>
    <w:p w14:paraId="196D4C38">
      <w:pPr>
        <w:kinsoku w:val="0"/>
        <w:overflowPunct w:val="0"/>
        <w:autoSpaceDE w:val="0"/>
        <w:autoSpaceDN w:val="0"/>
        <w:adjustRightInd w:val="0"/>
        <w:snapToGrid w:val="0"/>
        <w:spacing w:line="560" w:lineRule="exact"/>
        <w:ind w:firstLine="620" w:firstLineChars="200"/>
        <w:textAlignment w:val="baseline"/>
        <w:rPr>
          <w:rFonts w:hint="eastAsia" w:ascii="黑体" w:hAnsi="黑体" w:eastAsia="黑体" w:cs="黑体"/>
          <w:snapToGrid w:val="0"/>
          <w:color w:val="auto"/>
          <w:spacing w:val="-5"/>
          <w:sz w:val="32"/>
          <w:szCs w:val="32"/>
        </w:rPr>
      </w:pPr>
      <w:r>
        <w:rPr>
          <w:rFonts w:hint="eastAsia" w:ascii="黑体" w:hAnsi="黑体" w:eastAsia="黑体" w:cs="黑体"/>
          <w:snapToGrid w:val="0"/>
          <w:spacing w:val="-5"/>
          <w:sz w:val="32"/>
          <w:szCs w:val="32"/>
        </w:rPr>
        <w:t>海口市产业发展投</w:t>
      </w:r>
      <w:r>
        <w:rPr>
          <w:rFonts w:hint="eastAsia" w:ascii="黑体" w:hAnsi="黑体" w:eastAsia="黑体" w:cs="黑体"/>
          <w:snapToGrid w:val="0"/>
          <w:color w:val="auto"/>
          <w:spacing w:val="-5"/>
          <w:sz w:val="32"/>
          <w:szCs w:val="32"/>
        </w:rPr>
        <w:t>资集团有限公司</w:t>
      </w:r>
      <w:r>
        <w:rPr>
          <w:rFonts w:hint="eastAsia" w:ascii="黑体" w:hAnsi="黑体" w:eastAsia="黑体" w:cs="黑体"/>
          <w:color w:val="auto"/>
          <w:sz w:val="32"/>
          <w:szCs w:val="32"/>
        </w:rPr>
        <w:t>（以下简称：甲方）：</w:t>
      </w:r>
    </w:p>
    <w:p w14:paraId="4AE8A3BC">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lang w:val="en-US" w:eastAsia="zh-CN"/>
        </w:rPr>
      </w:pPr>
      <w:r>
        <w:rPr>
          <w:rFonts w:hint="eastAsia" w:ascii="仿宋_GB2312" w:hAnsi="仿宋_GB2312" w:eastAsia="仿宋_GB2312" w:cs="仿宋_GB2312"/>
          <w:snapToGrid w:val="0"/>
          <w:spacing w:val="-5"/>
          <w:sz w:val="32"/>
          <w:szCs w:val="32"/>
          <w:lang w:val="en-US" w:eastAsia="zh-CN"/>
        </w:rPr>
        <w:t>统一社会信用代码：91460000MACX5Q1Y1B</w:t>
      </w:r>
    </w:p>
    <w:p w14:paraId="31757A82">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val="0"/>
          <w:spacing w:val="-5"/>
          <w:sz w:val="32"/>
          <w:szCs w:val="32"/>
        </w:rPr>
      </w:pPr>
      <w:bookmarkStart w:id="0" w:name="OLE_LINK3"/>
      <w:r>
        <w:rPr>
          <w:rFonts w:hint="eastAsia" w:ascii="仿宋_GB2312" w:hAnsi="仿宋_GB2312" w:eastAsia="仿宋_GB2312" w:cs="仿宋_GB2312"/>
          <w:sz w:val="32"/>
          <w:szCs w:val="32"/>
        </w:rPr>
        <w:t>经营地址：</w:t>
      </w:r>
      <w:bookmarkEnd w:id="0"/>
      <w:r>
        <w:rPr>
          <w:rFonts w:hint="eastAsia" w:ascii="仿宋_GB2312" w:hAnsi="仿宋_GB2312" w:eastAsia="仿宋_GB2312" w:cs="仿宋_GB2312"/>
          <w:snapToGrid w:val="0"/>
          <w:spacing w:val="-5"/>
          <w:sz w:val="32"/>
          <w:szCs w:val="32"/>
        </w:rPr>
        <w:t>海南省海口市江东新区江东大道202号江东大厦B座3层</w:t>
      </w:r>
    </w:p>
    <w:p w14:paraId="4E5D4BF5">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法定代表人：张爱晖</w:t>
      </w:r>
    </w:p>
    <w:p w14:paraId="767360D5">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spacing w:val="0"/>
          <w:sz w:val="32"/>
          <w:szCs w:val="32"/>
        </w:rPr>
      </w:pPr>
      <w:r>
        <w:rPr>
          <w:rFonts w:hint="eastAsia" w:ascii="仿宋_GB2312" w:hAnsi="仿宋_GB2312" w:eastAsia="仿宋_GB2312" w:cs="仿宋_GB2312"/>
          <w:snapToGrid/>
          <w:spacing w:val="0"/>
          <w:sz w:val="32"/>
          <w:szCs w:val="32"/>
        </w:rPr>
        <w:t>联系方式：0898-31908512</w:t>
      </w:r>
    </w:p>
    <w:p w14:paraId="1A6F2BB4">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spacing w:val="0"/>
          <w:sz w:val="32"/>
          <w:szCs w:val="32"/>
        </w:rPr>
      </w:pPr>
      <w:r>
        <w:rPr>
          <w:rFonts w:hint="eastAsia" w:ascii="仿宋_GB2312" w:hAnsi="仿宋_GB2312" w:eastAsia="仿宋_GB2312" w:cs="仿宋_GB2312"/>
          <w:snapToGrid/>
          <w:spacing w:val="0"/>
          <w:sz w:val="32"/>
          <w:szCs w:val="32"/>
        </w:rPr>
        <w:t>电子邮箱：ctjtzh@126.com</w:t>
      </w:r>
    </w:p>
    <w:p w14:paraId="1E7A4F7D">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p>
    <w:p w14:paraId="03341FC0">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p>
    <w:p w14:paraId="62C671EC">
      <w:pPr>
        <w:tabs>
          <w:tab w:val="left" w:pos="2145"/>
        </w:tabs>
        <w:kinsoku w:val="0"/>
        <w:overflowPunct w:val="0"/>
        <w:autoSpaceDE w:val="0"/>
        <w:autoSpaceDN w:val="0"/>
        <w:adjustRightInd w:val="0"/>
        <w:snapToGrid w:val="0"/>
        <w:spacing w:line="560" w:lineRule="exact"/>
        <w:textAlignment w:val="baseline"/>
        <w:rPr>
          <w:rFonts w:hint="eastAsia" w:ascii="仿宋_GB2312" w:hAnsi="仿宋_GB2312" w:eastAsia="仿宋_GB2312" w:cs="仿宋_GB2312"/>
          <w:snapToGrid w:val="0"/>
          <w:spacing w:val="-5"/>
          <w:sz w:val="32"/>
          <w:szCs w:val="32"/>
          <w:lang w:val="en-US" w:eastAsia="zh-CN"/>
        </w:rPr>
      </w:pPr>
    </w:p>
    <w:p w14:paraId="19ECB45B">
      <w:pPr>
        <w:tabs>
          <w:tab w:val="left" w:pos="2145"/>
        </w:tabs>
        <w:kinsoku w:val="0"/>
        <w:overflowPunct w:val="0"/>
        <w:autoSpaceDE w:val="0"/>
        <w:autoSpaceDN w:val="0"/>
        <w:adjustRightInd w:val="0"/>
        <w:snapToGrid w:val="0"/>
        <w:spacing w:line="560" w:lineRule="exact"/>
        <w:ind w:firstLine="3100" w:firstLineChars="1000"/>
        <w:textAlignment w:val="baseline"/>
        <w:rPr>
          <w:rFonts w:hint="eastAsia" w:ascii="黑体" w:hAnsi="黑体" w:eastAsia="黑体" w:cs="黑体"/>
          <w:snapToGrid w:val="0"/>
          <w:spacing w:val="-5"/>
          <w:sz w:val="32"/>
          <w:szCs w:val="32"/>
          <w:lang w:val="en-US" w:eastAsia="zh-CN"/>
        </w:rPr>
      </w:pPr>
      <w:r>
        <w:rPr>
          <w:rFonts w:hint="eastAsia" w:ascii="仿宋_GB2312" w:hAnsi="仿宋_GB2312" w:eastAsia="仿宋_GB2312" w:cs="仿宋_GB2312"/>
          <w:snapToGrid w:val="0"/>
          <w:spacing w:val="-5"/>
          <w:sz w:val="32"/>
          <w:szCs w:val="32"/>
          <w:lang w:val="en-US" w:eastAsia="zh-CN"/>
        </w:rPr>
        <w:t>（</w:t>
      </w:r>
      <w:r>
        <w:rPr>
          <w:rFonts w:hint="eastAsia" w:ascii="黑体" w:hAnsi="黑体" w:eastAsia="黑体" w:cs="黑体"/>
          <w:snapToGrid w:val="0"/>
          <w:spacing w:val="-5"/>
          <w:sz w:val="32"/>
          <w:szCs w:val="32"/>
        </w:rPr>
        <w:t>以下简称：乙方）：</w:t>
      </w:r>
    </w:p>
    <w:p w14:paraId="5791B85D">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lang w:val="en-US" w:eastAsia="zh-CN"/>
        </w:rPr>
        <w:t>统一社会信用代码：</w:t>
      </w:r>
      <w:r>
        <w:rPr>
          <w:rFonts w:hint="eastAsia" w:ascii="仿宋_GB2312" w:hAnsi="仿宋_GB2312" w:eastAsia="仿宋_GB2312" w:cs="仿宋_GB2312"/>
          <w:snapToGrid w:val="0"/>
          <w:spacing w:val="-5"/>
          <w:sz w:val="32"/>
          <w:szCs w:val="32"/>
          <w:lang w:val="en-US" w:eastAsia="zh-CN"/>
        </w:rPr>
        <w:t xml:space="preserve">            </w:t>
      </w:r>
    </w:p>
    <w:p w14:paraId="4817D476">
      <w:pPr>
        <w:kinsoku w:val="0"/>
        <w:overflowPunct w:val="0"/>
        <w:autoSpaceDE w:val="0"/>
        <w:autoSpaceDN w:val="0"/>
        <w:adjustRightInd w:val="0"/>
        <w:snapToGrid w:val="0"/>
        <w:spacing w:line="560" w:lineRule="exact"/>
        <w:ind w:firstLine="640" w:firstLineChars="200"/>
        <w:textAlignment w:val="baseline"/>
        <w:rPr>
          <w:rFonts w:hint="default" w:ascii="仿宋_GB2312" w:hAnsi="仿宋_GB2312" w:eastAsia="仿宋_GB2312" w:cs="仿宋_GB2312"/>
          <w:snapToGrid w:val="0"/>
          <w:spacing w:val="-5"/>
          <w:sz w:val="32"/>
          <w:szCs w:val="32"/>
          <w:lang w:val="en-US" w:eastAsia="zh-CN"/>
        </w:rPr>
      </w:pPr>
      <w:r>
        <w:rPr>
          <w:rFonts w:hint="eastAsia" w:ascii="仿宋_GB2312" w:hAnsi="仿宋_GB2312" w:eastAsia="仿宋_GB2312" w:cs="仿宋_GB2312"/>
          <w:sz w:val="32"/>
          <w:szCs w:val="32"/>
        </w:rPr>
        <w:t>经营地址：</w:t>
      </w:r>
      <w:r>
        <w:rPr>
          <w:rFonts w:hint="eastAsia" w:ascii="仿宋_GB2312" w:hAnsi="仿宋_GB2312" w:eastAsia="仿宋_GB2312" w:cs="仿宋_GB2312"/>
          <w:sz w:val="32"/>
          <w:szCs w:val="32"/>
          <w:lang w:val="en-US" w:eastAsia="zh-CN"/>
        </w:rPr>
        <w:t xml:space="preserve">               </w:t>
      </w:r>
    </w:p>
    <w:p w14:paraId="52940437">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eastAsia" w:ascii="仿宋_GB2312" w:hAnsi="仿宋_GB2312" w:eastAsia="仿宋_GB2312" w:cs="仿宋_GB2312"/>
          <w:snapToGrid w:val="0"/>
          <w:spacing w:val="-5"/>
          <w:sz w:val="32"/>
          <w:szCs w:val="32"/>
        </w:rPr>
        <w:t>法定代表人：</w:t>
      </w:r>
      <w:r>
        <w:rPr>
          <w:rFonts w:hint="eastAsia" w:ascii="仿宋_GB2312" w:hAnsi="仿宋_GB2312" w:eastAsia="仿宋_GB2312" w:cs="仿宋_GB2312"/>
          <w:snapToGrid w:val="0"/>
          <w:spacing w:val="-5"/>
          <w:sz w:val="32"/>
          <w:szCs w:val="32"/>
          <w:lang w:val="en-US" w:eastAsia="zh-CN"/>
        </w:rPr>
        <w:t xml:space="preserve">       </w:t>
      </w:r>
    </w:p>
    <w:p w14:paraId="3282FA31">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rPr>
        <w:t>联系方式：</w:t>
      </w:r>
      <w:r>
        <w:rPr>
          <w:rFonts w:hint="eastAsia" w:ascii="仿宋_GB2312" w:hAnsi="仿宋_GB2312" w:eastAsia="仿宋_GB2312" w:cs="仿宋_GB2312"/>
          <w:snapToGrid w:val="0"/>
          <w:spacing w:val="-5"/>
          <w:sz w:val="32"/>
          <w:szCs w:val="32"/>
          <w:lang w:val="en-US" w:eastAsia="zh-CN"/>
        </w:rPr>
        <w:t xml:space="preserve">          </w:t>
      </w:r>
    </w:p>
    <w:p w14:paraId="277750BC">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rPr>
        <w:t xml:space="preserve">电子邮箱： </w:t>
      </w:r>
      <w:r>
        <w:rPr>
          <w:rFonts w:hint="eastAsia" w:ascii="仿宋_GB2312" w:hAnsi="仿宋_GB2312" w:eastAsia="仿宋_GB2312" w:cs="仿宋_GB2312"/>
          <w:snapToGrid w:val="0"/>
          <w:spacing w:val="-5"/>
          <w:sz w:val="32"/>
          <w:szCs w:val="32"/>
          <w:lang w:val="en-US" w:eastAsia="zh-CN"/>
        </w:rPr>
        <w:t xml:space="preserve">        </w:t>
      </w:r>
    </w:p>
    <w:p w14:paraId="16C9506C">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p>
    <w:p w14:paraId="604712A7">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p>
    <w:p w14:paraId="31C2CCFF">
      <w:pPr>
        <w:pageBreakBefore w:val="0"/>
        <w:wordWrap/>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18E2EBF1">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根据《中华人民共和国民法典》《中华人民共和国密码法》及相关法律法规，甲</w:t>
      </w:r>
      <w:r>
        <w:rPr>
          <w:rFonts w:hint="eastAsia" w:ascii="仿宋_GB2312" w:hAnsi="仿宋_GB2312" w:eastAsia="仿宋_GB2312" w:cs="仿宋_GB2312"/>
          <w:snapToGrid w:val="0"/>
          <w:color w:val="auto"/>
          <w:spacing w:val="-5"/>
          <w:sz w:val="32"/>
          <w:szCs w:val="32"/>
        </w:rPr>
        <w:t>乙双方在平等自愿、诚实信用的基础上，甲乙双方就</w:t>
      </w:r>
      <w:r>
        <w:rPr>
          <w:rFonts w:hint="eastAsia" w:ascii="仿宋_GB2312" w:hAnsi="仿宋_GB2312" w:eastAsia="仿宋_GB2312" w:cs="仿宋_GB2312"/>
          <w:snapToGrid w:val="0"/>
          <w:color w:val="auto"/>
          <w:spacing w:val="-5"/>
          <w:sz w:val="32"/>
          <w:szCs w:val="32"/>
          <w:u w:val="single"/>
          <w:lang w:val="en-US" w:eastAsia="zh-CN"/>
        </w:rPr>
        <w:t xml:space="preserve">         项目</w:t>
      </w:r>
      <w:r>
        <w:rPr>
          <w:rFonts w:hint="eastAsia" w:ascii="仿宋_GB2312" w:hAnsi="仿宋_GB2312" w:eastAsia="仿宋_GB2312" w:cs="仿宋_GB2312"/>
          <w:snapToGrid w:val="0"/>
          <w:color w:val="auto"/>
          <w:spacing w:val="-5"/>
          <w:sz w:val="32"/>
          <w:szCs w:val="32"/>
        </w:rPr>
        <w:t>事宜达成</w:t>
      </w:r>
      <w:r>
        <w:rPr>
          <w:rFonts w:hint="eastAsia" w:ascii="仿宋_GB2312" w:hAnsi="仿宋" w:eastAsia="仿宋_GB2312" w:cs="仿宋"/>
          <w:color w:val="auto"/>
          <w:sz w:val="32"/>
          <w:szCs w:val="32"/>
        </w:rPr>
        <w:t>一致，签订本合同，以资共同遵守。</w:t>
      </w:r>
    </w:p>
    <w:p w14:paraId="1C789687">
      <w:pPr>
        <w:pStyle w:val="5"/>
        <w:numPr>
          <w:ilvl w:val="0"/>
          <w:numId w:val="1"/>
        </w:numPr>
        <w:overflowPunct w:val="0"/>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标的、数量</w:t>
      </w:r>
    </w:p>
    <w:p w14:paraId="6845E707">
      <w:pPr>
        <w:pStyle w:val="8"/>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24" w:firstLineChars="200"/>
        <w:textAlignment w:val="auto"/>
        <w:outlineLvl w:val="1"/>
        <w:rPr>
          <w:rFonts w:hint="eastAsia" w:ascii="楷体_GB2312" w:hAnsi="楷体_GB2312" w:eastAsia="楷体_GB2312" w:cs="楷体_GB2312"/>
          <w:color w:val="auto"/>
          <w:spacing w:val="-4"/>
          <w:sz w:val="32"/>
          <w:szCs w:val="32"/>
          <w:highlight w:val="none"/>
          <w:lang w:val="en-US" w:eastAsia="zh-CN"/>
        </w:rPr>
      </w:pPr>
      <w:r>
        <w:rPr>
          <w:rFonts w:hint="eastAsia" w:ascii="楷体_GB2312" w:hAnsi="楷体_GB2312" w:eastAsia="楷体_GB2312" w:cs="楷体_GB2312"/>
          <w:color w:val="auto"/>
          <w:spacing w:val="-4"/>
          <w:sz w:val="32"/>
          <w:szCs w:val="32"/>
          <w:highlight w:val="none"/>
          <w:lang w:val="en-US" w:eastAsia="zh-CN"/>
        </w:rPr>
        <w:t>（一）合同采购清单</w:t>
      </w:r>
    </w:p>
    <w:tbl>
      <w:tblPr>
        <w:tblStyle w:val="20"/>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89"/>
        <w:gridCol w:w="1391"/>
        <w:gridCol w:w="1155"/>
        <w:gridCol w:w="401"/>
        <w:gridCol w:w="898"/>
        <w:gridCol w:w="1570"/>
        <w:gridCol w:w="2294"/>
        <w:gridCol w:w="765"/>
      </w:tblGrid>
      <w:tr w14:paraId="3F7CD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20" w:type="pct"/>
            <w:vAlign w:val="center"/>
          </w:tcPr>
          <w:p w14:paraId="22485877">
            <w:pPr>
              <w:pStyle w:val="8"/>
              <w:autoSpaceDE/>
              <w:autoSpaceDN/>
              <w:spacing w:line="240" w:lineRule="atLeast"/>
              <w:jc w:val="center"/>
              <w:rPr>
                <w:rFonts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序号</w:t>
            </w:r>
          </w:p>
        </w:tc>
        <w:tc>
          <w:tcPr>
            <w:tcW w:w="784" w:type="pct"/>
            <w:vAlign w:val="center"/>
          </w:tcPr>
          <w:p w14:paraId="4C768C3F">
            <w:pPr>
              <w:pStyle w:val="8"/>
              <w:autoSpaceDE/>
              <w:autoSpaceDN/>
              <w:spacing w:line="240" w:lineRule="atLeast"/>
              <w:jc w:val="center"/>
              <w:rPr>
                <w:rFonts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系统名称</w:t>
            </w:r>
          </w:p>
        </w:tc>
        <w:tc>
          <w:tcPr>
            <w:tcW w:w="651" w:type="pct"/>
            <w:vAlign w:val="center"/>
          </w:tcPr>
          <w:p w14:paraId="7AEF1D82">
            <w:pPr>
              <w:pStyle w:val="8"/>
              <w:autoSpaceDE/>
              <w:autoSpaceDN/>
              <w:spacing w:line="240" w:lineRule="atLeast"/>
              <w:jc w:val="center"/>
              <w:rPr>
                <w:rFonts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预估等级</w:t>
            </w:r>
          </w:p>
        </w:tc>
        <w:tc>
          <w:tcPr>
            <w:tcW w:w="226" w:type="pct"/>
            <w:vAlign w:val="center"/>
          </w:tcPr>
          <w:p w14:paraId="424BEF26">
            <w:pPr>
              <w:pStyle w:val="8"/>
              <w:autoSpaceDE/>
              <w:autoSpaceDN/>
              <w:spacing w:line="240" w:lineRule="atLeast"/>
              <w:jc w:val="center"/>
              <w:rPr>
                <w:rFonts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单位</w:t>
            </w:r>
          </w:p>
        </w:tc>
        <w:tc>
          <w:tcPr>
            <w:tcW w:w="506" w:type="pct"/>
            <w:vAlign w:val="center"/>
          </w:tcPr>
          <w:p w14:paraId="7622666F">
            <w:pPr>
              <w:pStyle w:val="8"/>
              <w:autoSpaceDE/>
              <w:autoSpaceDN/>
              <w:spacing w:line="240" w:lineRule="atLeast"/>
              <w:jc w:val="center"/>
              <w:rPr>
                <w:rFonts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预估数量</w:t>
            </w:r>
          </w:p>
        </w:tc>
        <w:tc>
          <w:tcPr>
            <w:tcW w:w="885" w:type="pct"/>
            <w:vAlign w:val="center"/>
          </w:tcPr>
          <w:p w14:paraId="20C0A42A">
            <w:pPr>
              <w:pStyle w:val="8"/>
              <w:autoSpaceDE/>
              <w:autoSpaceDN/>
              <w:spacing w:line="240" w:lineRule="atLeast"/>
              <w:jc w:val="center"/>
              <w:rPr>
                <w:rFonts w:ascii="黑体" w:hAnsi="黑体" w:eastAsia="黑体" w:cs="黑体"/>
                <w:color w:val="auto"/>
                <w:spacing w:val="-4"/>
                <w:sz w:val="20"/>
                <w:szCs w:val="20"/>
                <w:highlight w:val="none"/>
              </w:rPr>
            </w:pPr>
            <w:r>
              <w:rPr>
                <w:rFonts w:hint="eastAsia" w:ascii="黑体" w:hAnsi="黑体" w:eastAsia="黑体" w:cs="黑体"/>
                <w:color w:val="auto"/>
                <w:spacing w:val="-4"/>
                <w:sz w:val="20"/>
                <w:szCs w:val="20"/>
                <w:highlight w:val="none"/>
              </w:rPr>
              <w:t>含税单价（元）</w:t>
            </w:r>
          </w:p>
        </w:tc>
        <w:tc>
          <w:tcPr>
            <w:tcW w:w="1293" w:type="pct"/>
            <w:vAlign w:val="center"/>
          </w:tcPr>
          <w:p w14:paraId="1966B235">
            <w:pPr>
              <w:pStyle w:val="8"/>
              <w:autoSpaceDE/>
              <w:autoSpaceDN/>
              <w:spacing w:line="240" w:lineRule="atLeast"/>
              <w:jc w:val="center"/>
              <w:rPr>
                <w:rFonts w:ascii="黑体" w:hAnsi="黑体" w:eastAsia="黑体" w:cs="黑体"/>
                <w:color w:val="auto"/>
                <w:spacing w:val="-4"/>
                <w:sz w:val="20"/>
                <w:szCs w:val="20"/>
                <w:highlight w:val="none"/>
              </w:rPr>
            </w:pPr>
            <w:r>
              <w:rPr>
                <w:rFonts w:hint="eastAsia" w:ascii="黑体" w:hAnsi="黑体" w:eastAsia="黑体" w:cs="黑体"/>
                <w:color w:val="auto"/>
                <w:spacing w:val="-4"/>
                <w:sz w:val="20"/>
                <w:szCs w:val="20"/>
                <w:highlight w:val="none"/>
              </w:rPr>
              <w:t>含税总金额（元）</w:t>
            </w:r>
          </w:p>
        </w:tc>
        <w:tc>
          <w:tcPr>
            <w:tcW w:w="431" w:type="pct"/>
            <w:vAlign w:val="center"/>
          </w:tcPr>
          <w:p w14:paraId="629EB9A3">
            <w:pPr>
              <w:pStyle w:val="8"/>
              <w:autoSpaceDE/>
              <w:autoSpaceDN/>
              <w:spacing w:line="240" w:lineRule="atLeast"/>
              <w:jc w:val="center"/>
              <w:rPr>
                <w:rFonts w:hint="eastAsia" w:ascii="黑体" w:hAnsi="黑体" w:eastAsia="黑体" w:cs="黑体"/>
                <w:color w:val="auto"/>
                <w:spacing w:val="-4"/>
                <w:sz w:val="20"/>
                <w:szCs w:val="20"/>
                <w:highlight w:val="none"/>
                <w:lang w:eastAsia="zh-CN"/>
              </w:rPr>
            </w:pPr>
            <w:r>
              <w:rPr>
                <w:rFonts w:hint="eastAsia" w:ascii="黑体" w:hAnsi="黑体" w:eastAsia="黑体" w:cs="黑体"/>
                <w:color w:val="auto"/>
                <w:spacing w:val="-4"/>
                <w:sz w:val="20"/>
                <w:szCs w:val="20"/>
                <w:highlight w:val="none"/>
                <w:lang w:eastAsia="zh-CN"/>
              </w:rPr>
              <w:t>税率</w:t>
            </w:r>
          </w:p>
        </w:tc>
      </w:tr>
      <w:tr w14:paraId="497F1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20" w:type="pct"/>
            <w:vAlign w:val="center"/>
          </w:tcPr>
          <w:p w14:paraId="137C4891">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1</w:t>
            </w:r>
          </w:p>
        </w:tc>
        <w:tc>
          <w:tcPr>
            <w:tcW w:w="784" w:type="pct"/>
            <w:vAlign w:val="center"/>
          </w:tcPr>
          <w:p w14:paraId="21F88E70">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651" w:type="pct"/>
            <w:vAlign w:val="center"/>
          </w:tcPr>
          <w:p w14:paraId="577D1529">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二级</w:t>
            </w:r>
          </w:p>
        </w:tc>
        <w:tc>
          <w:tcPr>
            <w:tcW w:w="226" w:type="pct"/>
            <w:vAlign w:val="center"/>
          </w:tcPr>
          <w:p w14:paraId="74A1A1C1">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套</w:t>
            </w:r>
          </w:p>
        </w:tc>
        <w:tc>
          <w:tcPr>
            <w:tcW w:w="506" w:type="pct"/>
            <w:vAlign w:val="center"/>
          </w:tcPr>
          <w:p w14:paraId="77C75D79">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885" w:type="pct"/>
            <w:vAlign w:val="center"/>
          </w:tcPr>
          <w:p w14:paraId="3659EE9B">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1293" w:type="pct"/>
            <w:vAlign w:val="center"/>
          </w:tcPr>
          <w:p w14:paraId="33238FB2">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431" w:type="pct"/>
            <w:vAlign w:val="center"/>
          </w:tcPr>
          <w:p w14:paraId="5BFA0129">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r>
      <w:tr w14:paraId="2AB9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20" w:type="pct"/>
            <w:vAlign w:val="center"/>
          </w:tcPr>
          <w:p w14:paraId="6A6EAE9E">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2</w:t>
            </w:r>
          </w:p>
        </w:tc>
        <w:tc>
          <w:tcPr>
            <w:tcW w:w="784" w:type="pct"/>
            <w:vAlign w:val="center"/>
          </w:tcPr>
          <w:p w14:paraId="332DCD6C">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651" w:type="pct"/>
            <w:vAlign w:val="center"/>
          </w:tcPr>
          <w:p w14:paraId="7F2E82E5">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二级</w:t>
            </w:r>
          </w:p>
        </w:tc>
        <w:tc>
          <w:tcPr>
            <w:tcW w:w="226" w:type="pct"/>
            <w:vAlign w:val="center"/>
          </w:tcPr>
          <w:p w14:paraId="36608327">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套</w:t>
            </w:r>
          </w:p>
        </w:tc>
        <w:tc>
          <w:tcPr>
            <w:tcW w:w="506" w:type="pct"/>
            <w:vAlign w:val="center"/>
          </w:tcPr>
          <w:p w14:paraId="2F9441AA">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885" w:type="pct"/>
            <w:vAlign w:val="center"/>
          </w:tcPr>
          <w:p w14:paraId="65A7F012">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1293" w:type="pct"/>
            <w:vAlign w:val="center"/>
          </w:tcPr>
          <w:p w14:paraId="76B1D028">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431" w:type="pct"/>
            <w:vAlign w:val="center"/>
          </w:tcPr>
          <w:p w14:paraId="672471B6">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r>
      <w:tr w14:paraId="784C1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20" w:type="pct"/>
            <w:vAlign w:val="center"/>
          </w:tcPr>
          <w:p w14:paraId="69714551">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3</w:t>
            </w:r>
          </w:p>
        </w:tc>
        <w:tc>
          <w:tcPr>
            <w:tcW w:w="784" w:type="pct"/>
            <w:vAlign w:val="center"/>
          </w:tcPr>
          <w:p w14:paraId="397D26C4">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651" w:type="pct"/>
            <w:vAlign w:val="center"/>
          </w:tcPr>
          <w:p w14:paraId="11450E17">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二级</w:t>
            </w:r>
          </w:p>
        </w:tc>
        <w:tc>
          <w:tcPr>
            <w:tcW w:w="226" w:type="pct"/>
            <w:vAlign w:val="center"/>
          </w:tcPr>
          <w:p w14:paraId="213A3683">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r>
              <w:rPr>
                <w:rFonts w:hint="eastAsia" w:ascii="仿宋_GB2312" w:hAnsi="仿宋_GB2312" w:eastAsia="仿宋_GB2312" w:cs="仿宋_GB2312"/>
                <w:color w:val="auto"/>
                <w:spacing w:val="-4"/>
                <w:sz w:val="20"/>
                <w:szCs w:val="20"/>
                <w:highlight w:val="none"/>
                <w:lang w:eastAsia="zh-CN"/>
              </w:rPr>
              <w:t>套</w:t>
            </w:r>
          </w:p>
        </w:tc>
        <w:tc>
          <w:tcPr>
            <w:tcW w:w="506" w:type="pct"/>
            <w:vAlign w:val="center"/>
          </w:tcPr>
          <w:p w14:paraId="514A153B">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885" w:type="pct"/>
            <w:vAlign w:val="center"/>
          </w:tcPr>
          <w:p w14:paraId="221D69E1">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1293" w:type="pct"/>
            <w:vAlign w:val="center"/>
          </w:tcPr>
          <w:p w14:paraId="5D73905D">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c>
          <w:tcPr>
            <w:tcW w:w="431" w:type="pct"/>
            <w:vAlign w:val="center"/>
          </w:tcPr>
          <w:p w14:paraId="5D12DA1F">
            <w:pPr>
              <w:pStyle w:val="8"/>
              <w:autoSpaceDE/>
              <w:autoSpaceDN/>
              <w:spacing w:line="240" w:lineRule="atLeast"/>
              <w:jc w:val="center"/>
              <w:rPr>
                <w:rFonts w:ascii="仿宋_GB2312" w:hAnsi="仿宋_GB2312" w:eastAsia="仿宋_GB2312" w:cs="仿宋_GB2312"/>
                <w:color w:val="auto"/>
                <w:spacing w:val="-4"/>
                <w:sz w:val="20"/>
                <w:szCs w:val="20"/>
                <w:highlight w:val="none"/>
                <w:lang w:eastAsia="zh-CN"/>
              </w:rPr>
            </w:pPr>
          </w:p>
        </w:tc>
      </w:tr>
    </w:tbl>
    <w:p w14:paraId="4254DB57">
      <w:pPr>
        <w:pStyle w:val="8"/>
        <w:autoSpaceDE/>
        <w:autoSpaceDN/>
        <w:spacing w:line="576" w:lineRule="exact"/>
        <w:ind w:firstLine="624" w:firstLineChars="200"/>
        <w:outlineLvl w:val="9"/>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mc:AlternateContent>
          <mc:Choice Requires="wps">
            <w:drawing>
              <wp:anchor distT="0" distB="0" distL="114300" distR="114300" simplePos="0" relativeHeight="251660288" behindDoc="0" locked="0" layoutInCell="0" allowOverlap="1">
                <wp:simplePos x="0" y="0"/>
                <wp:positionH relativeFrom="page">
                  <wp:posOffset>1007745</wp:posOffset>
                </wp:positionH>
                <wp:positionV relativeFrom="page">
                  <wp:posOffset>707390</wp:posOffset>
                </wp:positionV>
                <wp:extent cx="561657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16575" cy="9525"/>
                        </a:xfrm>
                        <a:custGeom>
                          <a:avLst/>
                          <a:gdLst/>
                          <a:ahLst/>
                          <a:cxnLst/>
                          <a:rect l="0" t="0" r="0" b="0"/>
                          <a:pathLst>
                            <a:path w="8845" h="15">
                              <a:moveTo>
                                <a:pt x="0" y="0"/>
                              </a:moveTo>
                              <a:lnTo>
                                <a:pt x="8844" y="0"/>
                              </a:lnTo>
                              <a:lnTo>
                                <a:pt x="884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35pt;margin-top:55.7pt;height:0.75pt;width:442.25pt;mso-position-horizontal-relative:page;mso-position-vertical-relative:page;z-index:251660288;mso-width-relative:page;mso-height-relative:page;" fillcolor="#000000" filled="t" stroked="f" coordsize="8845,15" o:allowincell="f" o:gfxdata="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xfW/f2QAAAAwB&#10;AAAPAAAAAAAAAAEAIAAAACIAAABkcnMvZG93bnJldi54bWxQSwECFAAUAAAACACHTuJAY6hqXBoC&#10;AACcBAAADgAAAAAAAAABACAAAAAoAQAAZHJzL2Uyb0RvYy54bWxQSwUGAAAAAAYABgBZAQAAtAUA&#10;AAAA&#10;" path="m0,0l8844,0,8844,14,0,14,0,0xe">
                <v:fill on="t" focussize="0,0"/>
                <v:stroke on="f"/>
                <v:imagedata o:title=""/>
                <o:lock v:ext="edit" aspectratio="f"/>
              </v:shape>
            </w:pict>
          </mc:Fallback>
        </mc:AlternateContent>
      </w:r>
      <w:r>
        <w:rPr>
          <w:rFonts w:hint="eastAsia" w:ascii="仿宋_GB2312" w:hAnsi="仿宋_GB2312" w:eastAsia="仿宋_GB2312" w:cs="仿宋_GB2312"/>
          <w:color w:val="auto"/>
          <w:spacing w:val="-4"/>
          <w:sz w:val="32"/>
          <w:szCs w:val="32"/>
          <w:highlight w:val="none"/>
          <w:lang w:eastAsia="zh-CN"/>
        </w:rPr>
        <w:t>以上系统不作为采购数量的承诺，实际采购数量以海口市产业发展投资集团有限公司下达的书面通知为准。如以上系统不全部开展商用密码测评相关工作时，甲方不承担任何违约责任，乙方也不能因此要求甲方赔偿损失。</w:t>
      </w:r>
    </w:p>
    <w:p w14:paraId="4C6F61BC">
      <w:pPr>
        <w:pStyle w:val="8"/>
        <w:autoSpaceDE/>
        <w:autoSpaceDN/>
        <w:spacing w:line="576" w:lineRule="exact"/>
        <w:ind w:firstLine="624" w:firstLineChars="200"/>
        <w:outlineLvl w:val="9"/>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乙方在满足甲方采购要求的基础上，无条件、无偿接受甲方根据实际情况对合同采购清单中测评系统数量作出的调整。</w:t>
      </w:r>
    </w:p>
    <w:p w14:paraId="7F7D9458">
      <w:pPr>
        <w:pStyle w:val="8"/>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24" w:firstLineChars="200"/>
        <w:textAlignment w:val="auto"/>
        <w:outlineLvl w:val="1"/>
        <w:rPr>
          <w:rFonts w:hint="eastAsia" w:ascii="楷体_GB2312" w:hAnsi="楷体_GB2312" w:eastAsia="楷体_GB2312" w:cs="楷体_GB2312"/>
          <w:color w:val="auto"/>
          <w:spacing w:val="-4"/>
          <w:sz w:val="32"/>
          <w:szCs w:val="32"/>
          <w:highlight w:val="none"/>
          <w:lang w:val="en-US" w:eastAsia="zh-CN"/>
        </w:rPr>
      </w:pPr>
      <w:r>
        <w:rPr>
          <w:rFonts w:hint="eastAsia" w:ascii="楷体_GB2312" w:hAnsi="楷体_GB2312" w:eastAsia="楷体_GB2312" w:cs="楷体_GB2312"/>
          <w:color w:val="auto"/>
          <w:spacing w:val="-4"/>
          <w:sz w:val="32"/>
          <w:szCs w:val="32"/>
          <w:highlight w:val="none"/>
          <w:lang w:val="en-US" w:eastAsia="zh-CN"/>
        </w:rPr>
        <w:t>（二）履约期限</w:t>
      </w:r>
    </w:p>
    <w:p w14:paraId="26D1FD1C">
      <w:pPr>
        <w:pStyle w:val="8"/>
        <w:autoSpaceDE/>
        <w:autoSpaceDN/>
        <w:spacing w:line="576" w:lineRule="exact"/>
        <w:ind w:firstLine="624" w:firstLineChars="200"/>
        <w:outlineLvl w:val="9"/>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1.</w:t>
      </w:r>
      <w:r>
        <w:rPr>
          <w:rFonts w:hint="eastAsia" w:ascii="仿宋_GB2312" w:hAnsi="仿宋_GB2312" w:eastAsia="仿宋_GB2312" w:cs="仿宋_GB2312"/>
          <w:color w:val="auto"/>
          <w:spacing w:val="-4"/>
          <w:sz w:val="32"/>
          <w:szCs w:val="32"/>
          <w:highlight w:val="none"/>
          <w:lang w:val="en-US" w:eastAsia="zh-CN"/>
        </w:rPr>
        <w:t>本合同中的系统将分批次开展商用密码评估工作，每批次</w:t>
      </w:r>
      <w:r>
        <w:rPr>
          <w:rFonts w:hint="eastAsia" w:ascii="仿宋_GB2312" w:hAnsi="仿宋_GB2312" w:eastAsia="仿宋_GB2312" w:cs="仿宋_GB2312"/>
          <w:color w:val="auto"/>
          <w:spacing w:val="-4"/>
          <w:sz w:val="32"/>
          <w:szCs w:val="32"/>
          <w:highlight w:val="none"/>
          <w:lang w:eastAsia="zh-CN"/>
        </w:rPr>
        <w:t>评估服务的履行期限为</w:t>
      </w:r>
      <w:r>
        <w:rPr>
          <w:rFonts w:hint="eastAsia" w:ascii="仿宋_GB2312" w:hAnsi="仿宋_GB2312" w:eastAsia="仿宋_GB2312" w:cs="仿宋_GB2312"/>
          <w:color w:val="auto"/>
          <w:spacing w:val="-4"/>
          <w:sz w:val="32"/>
          <w:szCs w:val="32"/>
          <w:highlight w:val="none"/>
          <w:lang w:val="en-US" w:eastAsia="zh-CN"/>
        </w:rPr>
        <w:t>甲方</w:t>
      </w:r>
      <w:r>
        <w:rPr>
          <w:rFonts w:hint="eastAsia" w:ascii="仿宋_GB2312" w:hAnsi="仿宋_GB2312" w:eastAsia="仿宋_GB2312" w:cs="仿宋_GB2312"/>
          <w:color w:val="auto"/>
          <w:spacing w:val="-4"/>
          <w:sz w:val="32"/>
          <w:szCs w:val="32"/>
          <w:highlight w:val="none"/>
          <w:lang w:eastAsia="zh-CN"/>
        </w:rPr>
        <w:t>下达该批次的进场通知书之日起，</w:t>
      </w:r>
      <w:r>
        <w:rPr>
          <w:rFonts w:hint="eastAsia" w:ascii="仿宋_GB2312" w:hAnsi="仿宋_GB2312" w:eastAsia="仿宋_GB2312" w:cs="仿宋_GB2312"/>
          <w:color w:val="auto"/>
          <w:spacing w:val="-4"/>
          <w:sz w:val="32"/>
          <w:szCs w:val="32"/>
          <w:highlight w:val="none"/>
          <w:u w:val="single"/>
          <w:lang w:eastAsia="zh-CN"/>
        </w:rPr>
        <w:t>10</w:t>
      </w:r>
      <w:r>
        <w:rPr>
          <w:rFonts w:hint="eastAsia" w:ascii="仿宋_GB2312" w:hAnsi="仿宋_GB2312" w:eastAsia="仿宋_GB2312" w:cs="仿宋_GB2312"/>
          <w:color w:val="auto"/>
          <w:spacing w:val="-4"/>
          <w:sz w:val="32"/>
          <w:szCs w:val="32"/>
          <w:highlight w:val="none"/>
          <w:lang w:eastAsia="zh-CN"/>
        </w:rPr>
        <w:t>个工作日内交付《商用密码应用方案评估报告》，</w:t>
      </w:r>
      <w:r>
        <w:rPr>
          <w:rFonts w:hint="eastAsia" w:ascii="仿宋_GB2312" w:hAnsi="仿宋_GB2312" w:eastAsia="仿宋_GB2312" w:cs="仿宋_GB2312"/>
          <w:color w:val="auto"/>
          <w:spacing w:val="-4"/>
          <w:sz w:val="32"/>
          <w:szCs w:val="32"/>
          <w:highlight w:val="none"/>
          <w:u w:val="single"/>
          <w:lang w:val="en-US" w:eastAsia="zh-CN"/>
        </w:rPr>
        <w:t>60</w:t>
      </w:r>
      <w:r>
        <w:rPr>
          <w:rFonts w:hint="eastAsia" w:ascii="仿宋_GB2312" w:hAnsi="仿宋_GB2312" w:eastAsia="仿宋_GB2312" w:cs="仿宋_GB2312"/>
          <w:color w:val="auto"/>
          <w:spacing w:val="-4"/>
          <w:sz w:val="32"/>
          <w:szCs w:val="32"/>
          <w:highlight w:val="none"/>
          <w:lang w:eastAsia="zh-CN"/>
        </w:rPr>
        <w:t>个工作日内交付测评报告《商用密码应用安全性评估报告》（非乙方原因占用的时间不计入其中）。</w:t>
      </w:r>
    </w:p>
    <w:p w14:paraId="64028677">
      <w:pPr>
        <w:pStyle w:val="8"/>
        <w:autoSpaceDE/>
        <w:autoSpaceDN/>
        <w:spacing w:line="576" w:lineRule="exact"/>
        <w:ind w:firstLine="624" w:firstLineChars="200"/>
        <w:outlineLvl w:val="9"/>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2.如受测项目在测评过程中出现问题，经甲乙双方同意后可延长评估期限。</w:t>
      </w:r>
    </w:p>
    <w:p w14:paraId="62A47133">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价格与支付方式</w:t>
      </w:r>
    </w:p>
    <w:p w14:paraId="3CDC3A36">
      <w:pPr>
        <w:spacing w:line="560" w:lineRule="exact"/>
        <w:ind w:firstLine="640" w:firstLineChars="200"/>
        <w:outlineLvl w:val="9"/>
        <w:rPr>
          <w:rFonts w:hint="eastAsia" w:ascii="仿宋_GB2312" w:hAnsi="仿宋_GB2312" w:eastAsia="仿宋_GB2312" w:cs="仿宋_GB2312"/>
          <w:color w:val="auto"/>
          <w:spacing w:val="-5"/>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val="en-US" w:eastAsia="zh-CN"/>
        </w:rPr>
        <w:t>暂定金额</w:t>
      </w:r>
      <w:r>
        <w:rPr>
          <w:rFonts w:hint="eastAsia" w:ascii="仿宋_GB2312" w:hAnsi="仿宋_GB2312" w:eastAsia="仿宋_GB2312" w:cs="仿宋_GB2312"/>
          <w:color w:val="auto"/>
          <w:sz w:val="32"/>
          <w:szCs w:val="32"/>
          <w:highlight w:val="none"/>
        </w:rPr>
        <w:t>为</w:t>
      </w:r>
      <w:bookmarkStart w:id="1" w:name="OLE_LINK1"/>
      <w:r>
        <w:rPr>
          <w:rFonts w:hint="eastAsia" w:ascii="仿宋_GB2312" w:hAnsi="仿宋_GB2312" w:eastAsia="仿宋_GB2312" w:cs="仿宋_GB2312"/>
          <w:color w:val="auto"/>
          <w:sz w:val="32"/>
          <w:szCs w:val="32"/>
          <w:highlight w:val="none"/>
        </w:rPr>
        <w:t>（大写）人民币[金额大写]（￥0000.00）</w:t>
      </w:r>
      <w:bookmarkEnd w:id="1"/>
      <w:r>
        <w:rPr>
          <w:rFonts w:hint="eastAsia" w:ascii="仿宋_GB2312" w:hAnsi="仿宋_GB2312" w:eastAsia="仿宋_GB2312" w:cs="仿宋_GB2312"/>
          <w:color w:val="auto"/>
          <w:sz w:val="32"/>
          <w:szCs w:val="32"/>
          <w:highlight w:val="none"/>
        </w:rPr>
        <w:t>，不含税金额（大写）人民币[金额大写]（￥0000.00），税率（）%。</w:t>
      </w:r>
      <w:bookmarkStart w:id="2" w:name="OLE_LINK2"/>
      <w:r>
        <w:rPr>
          <w:rFonts w:hint="eastAsia" w:ascii="仿宋_GB2312" w:hAnsi="仿宋_GB2312" w:eastAsia="仿宋_GB2312" w:cs="仿宋_GB2312"/>
          <w:color w:val="auto"/>
          <w:spacing w:val="-5"/>
          <w:sz w:val="32"/>
          <w:szCs w:val="32"/>
          <w:highlight w:val="none"/>
          <w:lang w:eastAsia="zh-CN"/>
        </w:rPr>
        <w:t>在整个履行合同期间，合同单价不作调整，最终以甲方</w:t>
      </w:r>
      <w:r>
        <w:rPr>
          <w:rFonts w:hint="eastAsia" w:ascii="仿宋_GB2312" w:hAnsi="仿宋_GB2312" w:eastAsia="仿宋_GB2312" w:cs="仿宋_GB2312"/>
          <w:color w:val="auto"/>
          <w:spacing w:val="-5"/>
          <w:sz w:val="32"/>
          <w:szCs w:val="32"/>
          <w:highlight w:val="none"/>
          <w:lang w:val="en-US" w:eastAsia="zh-CN"/>
        </w:rPr>
        <w:t>书面</w:t>
      </w:r>
      <w:r>
        <w:rPr>
          <w:rFonts w:hint="eastAsia" w:ascii="仿宋_GB2312" w:hAnsi="仿宋_GB2312" w:eastAsia="仿宋_GB2312" w:cs="仿宋_GB2312"/>
          <w:color w:val="auto"/>
          <w:spacing w:val="-5"/>
          <w:sz w:val="32"/>
          <w:szCs w:val="32"/>
          <w:highlight w:val="none"/>
          <w:lang w:eastAsia="zh-CN"/>
        </w:rPr>
        <w:t>确认的实际测评系统数量核算合同价款。</w:t>
      </w:r>
    </w:p>
    <w:p w14:paraId="5997AB96">
      <w:pPr>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pacing w:val="-5"/>
          <w:sz w:val="32"/>
          <w:szCs w:val="32"/>
          <w:highlight w:val="none"/>
          <w:lang w:eastAsia="zh-CN"/>
        </w:rPr>
        <w:t>本合同款项已包括乙方为履行本合同所可能产生的一切费用，</w:t>
      </w:r>
      <w:r>
        <w:rPr>
          <w:rFonts w:hint="eastAsia" w:ascii="仿宋_GB2312" w:hAnsi="仿宋_GB2312" w:eastAsia="仿宋_GB2312" w:cs="仿宋_GB2312"/>
          <w:color w:val="auto"/>
          <w:sz w:val="32"/>
          <w:szCs w:val="32"/>
          <w:highlight w:val="none"/>
        </w:rPr>
        <w:t>包括人工费、差旅费、交通费、伙食费等因本次服务产生的所有费用，除本合同约定费用外，</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无需再向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支付</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rPr>
        <w:t>任何费用</w:t>
      </w:r>
      <w:bookmarkEnd w:id="2"/>
      <w:r>
        <w:rPr>
          <w:rFonts w:hint="eastAsia" w:ascii="仿宋_GB2312" w:hAnsi="仿宋_GB2312" w:eastAsia="仿宋_GB2312" w:cs="仿宋_GB2312"/>
          <w:color w:val="auto"/>
          <w:sz w:val="32"/>
          <w:szCs w:val="32"/>
          <w:highlight w:val="none"/>
        </w:rPr>
        <w:t>。</w:t>
      </w:r>
    </w:p>
    <w:p w14:paraId="2868D2F6">
      <w:pPr>
        <w:pStyle w:val="8"/>
        <w:spacing w:line="576"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支付方式：</w:t>
      </w:r>
    </w:p>
    <w:p w14:paraId="6969BDD6">
      <w:pPr>
        <w:pStyle w:val="8"/>
        <w:spacing w:line="576" w:lineRule="exact"/>
        <w:ind w:firstLine="640" w:firstLineChars="200"/>
        <w:jc w:val="both"/>
        <w:outlineLvl w:val="9"/>
        <w:rPr>
          <w:rFonts w:ascii="仿宋_GB2312" w:hAnsi="仿宋_GB2312" w:eastAsia="仿宋_GB2312" w:cs="仿宋_GB2312"/>
          <w:color w:val="auto"/>
          <w:spacing w:val="-5"/>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pacing w:val="-5"/>
          <w:sz w:val="32"/>
          <w:szCs w:val="32"/>
          <w:highlight w:val="none"/>
          <w:lang w:eastAsia="zh-CN"/>
        </w:rPr>
        <w:t>合同签订后，甲方根据实际需要确认每批次测评的系统清单，乙方根据甲方需求提交本批次成果文件并</w:t>
      </w:r>
      <w:r>
        <w:rPr>
          <w:rFonts w:hint="eastAsia" w:ascii="仿宋_GB2312" w:hAnsi="仿宋_GB2312" w:eastAsia="仿宋_GB2312" w:cs="仿宋_GB2312"/>
          <w:color w:val="auto"/>
          <w:spacing w:val="-5"/>
          <w:sz w:val="32"/>
          <w:szCs w:val="32"/>
          <w:highlight w:val="none"/>
          <w:lang w:val="en-US" w:eastAsia="zh-CN"/>
        </w:rPr>
        <w:t>经甲方</w:t>
      </w:r>
      <w:r>
        <w:rPr>
          <w:rFonts w:hint="eastAsia" w:ascii="仿宋_GB2312" w:hAnsi="仿宋_GB2312" w:eastAsia="仿宋_GB2312" w:cs="仿宋_GB2312"/>
          <w:color w:val="auto"/>
          <w:spacing w:val="-5"/>
          <w:sz w:val="32"/>
          <w:szCs w:val="32"/>
          <w:highlight w:val="none"/>
          <w:lang w:eastAsia="zh-CN"/>
        </w:rPr>
        <w:t>验收后，甲方一次性支付本批次测评费用。</w:t>
      </w:r>
    </w:p>
    <w:p w14:paraId="1F3B4530">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乙方收款信息</w:t>
      </w:r>
    </w:p>
    <w:p w14:paraId="2B6219A6">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D7ED210">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3.甲方开票信息</w:t>
      </w:r>
    </w:p>
    <w:p w14:paraId="763EE243">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名称：海口市产业发展投资集团有限公司</w:t>
      </w:r>
    </w:p>
    <w:p w14:paraId="08628C9E">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开户行：中国工商银行股份有限公司海口江东支行</w:t>
      </w:r>
    </w:p>
    <w:p w14:paraId="0A61E53F">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账号：2201060119100008037</w:t>
      </w:r>
    </w:p>
    <w:p w14:paraId="77A80391">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纳税人识别号：91460000</w:t>
      </w:r>
      <w:bookmarkStart w:id="4" w:name="_GoBack"/>
      <w:bookmarkEnd w:id="4"/>
      <w:r>
        <w:rPr>
          <w:rFonts w:hint="eastAsia" w:ascii="仿宋_GB2312" w:hAnsi="仿宋_GB2312" w:eastAsia="仿宋_GB2312" w:cs="仿宋_GB2312"/>
          <w:sz w:val="32"/>
          <w:szCs w:val="32"/>
        </w:rPr>
        <w:t>MACX5Q1Y1B</w:t>
      </w:r>
    </w:p>
    <w:p w14:paraId="762882CF">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址：海南省海口市江东新区江东大道202号江东大厦B座3层</w:t>
      </w:r>
    </w:p>
    <w:p w14:paraId="1D092289">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话：0898-31908519</w:t>
      </w:r>
    </w:p>
    <w:p w14:paraId="2E8D315A">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4.每次付款前【 】个工作日，乙方应提供合法有效的</w:t>
      </w:r>
      <w:del w:id="0" w:author="企业用户_266805483" w:date="2025-11-11T09:21:29Z">
        <w:r>
          <w:rPr>
            <w:rFonts w:hint="eastAsia" w:ascii="仿宋_GB2312" w:hAnsi="仿宋_GB2312" w:eastAsia="仿宋_GB2312" w:cs="仿宋_GB2312"/>
            <w:sz w:val="32"/>
            <w:szCs w:val="32"/>
            <w:lang w:val="en-US" w:eastAsia="zh-CN"/>
          </w:rPr>
          <w:delText>增值税发票</w:delText>
        </w:r>
      </w:del>
      <w:ins w:id="1" w:author="企业用户_266805483" w:date="2025-11-11T09:21:29Z">
        <w:r>
          <w:rPr>
            <w:rFonts w:hint="eastAsia" w:ascii="仿宋_GB2312" w:hAnsi="仿宋_GB2312" w:eastAsia="仿宋_GB2312" w:cs="仿宋_GB2312"/>
            <w:sz w:val="32"/>
            <w:szCs w:val="32"/>
            <w:lang w:val="en-US" w:eastAsia="zh-CN"/>
          </w:rPr>
          <w:t>增值税专用发票</w:t>
        </w:r>
      </w:ins>
      <w:r>
        <w:rPr>
          <w:rFonts w:hint="eastAsia" w:ascii="仿宋_GB2312" w:hAnsi="仿宋_GB2312" w:eastAsia="仿宋_GB2312" w:cs="仿宋_GB2312"/>
          <w:sz w:val="32"/>
          <w:szCs w:val="32"/>
          <w:lang w:val="en-US" w:eastAsia="zh-CN"/>
        </w:rPr>
        <w:t>，否则甲方有权延期付款，并不承担任何责任，由此造成的损失由乙方承担。如遇国家税率调整，则不含税价格不变，合同含税价及税率相应调整，乙方应按纳税义务发生时的税率开具增值税专用发票，税率变化导致价税金额的变更应在进度及结算金额中进行调整。</w:t>
      </w:r>
    </w:p>
    <w:p w14:paraId="3636FD99">
      <w:pPr>
        <w:pStyle w:val="8"/>
        <w:spacing w:before="120" w:line="184" w:lineRule="auto"/>
        <w:ind w:left="682"/>
        <w:outlineLvl w:val="0"/>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pacing w:val="-1"/>
          <w:sz w:val="32"/>
          <w:szCs w:val="32"/>
          <w:highlight w:val="none"/>
          <w:lang w:eastAsia="zh-CN"/>
        </w:rPr>
        <w:t>技术服务内容、方式、成果文件及验收</w:t>
      </w:r>
    </w:p>
    <w:p w14:paraId="6672BD19">
      <w:pPr>
        <w:pStyle w:val="8"/>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24" w:firstLineChars="200"/>
        <w:textAlignment w:val="auto"/>
        <w:outlineLvl w:val="1"/>
        <w:rPr>
          <w:rFonts w:hint="eastAsia" w:ascii="楷体_GB2312" w:hAnsi="楷体_GB2312" w:eastAsia="楷体_GB2312" w:cs="楷体_GB2312"/>
          <w:color w:val="auto"/>
          <w:spacing w:val="-4"/>
          <w:sz w:val="32"/>
          <w:szCs w:val="32"/>
          <w:highlight w:val="none"/>
          <w:lang w:val="en-US" w:eastAsia="zh-CN"/>
        </w:rPr>
      </w:pPr>
      <w:r>
        <w:rPr>
          <w:rFonts w:hint="eastAsia" w:ascii="楷体_GB2312" w:hAnsi="楷体_GB2312" w:eastAsia="楷体_GB2312" w:cs="楷体_GB2312"/>
          <w:color w:val="auto"/>
          <w:spacing w:val="-4"/>
          <w:sz w:val="32"/>
          <w:szCs w:val="32"/>
          <w:highlight w:val="none"/>
          <w:lang w:val="en-US" w:eastAsia="zh-CN"/>
        </w:rPr>
        <w:t>（一）技术服务内容</w:t>
      </w:r>
    </w:p>
    <w:p w14:paraId="648DE6D4">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技术服务内容主要包括商用密码应用方案评估、信息系统商用密码应用安全性评估和售后服务三部分，详细内容如下：</w:t>
      </w:r>
    </w:p>
    <w:p w14:paraId="12865579">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1.信息系统密码应用方案评估</w:t>
      </w:r>
    </w:p>
    <w:p w14:paraId="439AAA04">
      <w:pPr>
        <w:pStyle w:val="2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乙方按照</w:t>
      </w:r>
      <w:r>
        <w:rPr>
          <w:rFonts w:hint="default" w:ascii="仿宋_GB2312" w:hAnsi="仿宋_GB2312" w:eastAsia="仿宋_GB2312" w:cs="仿宋_GB2312"/>
          <w:sz w:val="32"/>
          <w:szCs w:val="32"/>
          <w:lang w:val="en-US" w:eastAsia="zh-CN"/>
        </w:rPr>
        <w:t>《信息安全技术 信息系统密码应用基本要求》《信息系统密码应用测评要求》《信息系统密码应用测评过程指南》《信息系统密码应用高风险判定指引》等技术要求和标准，</w:t>
      </w:r>
      <w:r>
        <w:rPr>
          <w:rFonts w:hint="eastAsia" w:ascii="仿宋_GB2312" w:hAnsi="仿宋_GB2312" w:eastAsia="仿宋_GB2312" w:cs="仿宋_GB2312"/>
          <w:sz w:val="32"/>
          <w:szCs w:val="32"/>
          <w:lang w:val="en-US" w:eastAsia="zh-CN"/>
        </w:rPr>
        <w:t>为甲方编制《&lt;XXX系统&gt;商用密码应用方案》提供咨询和指导，对采购评估服务系统的《密码应用方案》进行评估。</w:t>
      </w:r>
    </w:p>
    <w:p w14:paraId="53A8A15B">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（2）《&lt;XXX系统&gt;商用密码应用方案》评估完成后，配合甲方将密码应用方案评估报告报密码管理部门备案</w:t>
      </w:r>
      <w:r>
        <w:rPr>
          <w:rFonts w:hint="eastAsia" w:ascii="仿宋_GB2312" w:hAnsi="仿宋_GB2312" w:eastAsia="仿宋_GB2312" w:cs="仿宋_GB2312"/>
          <w:sz w:val="32"/>
          <w:szCs w:val="32"/>
          <w:lang w:val="en-US" w:eastAsia="zh-CN"/>
        </w:rPr>
        <w:t>，并取得密码管理部门审核通过的密评结果（方案）备案材料接收回执</w:t>
      </w:r>
      <w:r>
        <w:rPr>
          <w:rFonts w:hint="default" w:ascii="仿宋_GB2312" w:hAnsi="仿宋_GB2312" w:eastAsia="仿宋_GB2312" w:cs="仿宋_GB2312"/>
          <w:sz w:val="32"/>
          <w:szCs w:val="32"/>
          <w:lang w:val="en-US" w:eastAsia="zh-CN"/>
        </w:rPr>
        <w:t>。</w:t>
      </w:r>
    </w:p>
    <w:p w14:paraId="2E4A361B">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2.信息系统商用密码应用安全性评估</w:t>
      </w:r>
    </w:p>
    <w:p w14:paraId="4D1A0171">
      <w:pPr>
        <w:spacing w:line="560" w:lineRule="exact"/>
        <w:ind w:firstLine="640" w:firstLineChars="200"/>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依据《信息安全技术 信息系统密码应用基本要求》、《信息安全技术 信息系统密码应用测评要求》、《信息系统密码应用测评过程指南》等规范和技术标准(含行业标准)，对网络与信息系统使用商用密码技术、产品和服务的合规性、正确性、有效性进行检测分析和评估验证。</w:t>
      </w:r>
    </w:p>
    <w:p w14:paraId="329B7C7B">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（2）评估内容包括</w:t>
      </w:r>
      <w:r>
        <w:rPr>
          <w:rFonts w:hint="eastAsia" w:ascii="仿宋_GB2312" w:hAnsi="仿宋_GB2312" w:eastAsia="仿宋_GB2312" w:cs="仿宋_GB2312"/>
          <w:sz w:val="32"/>
          <w:szCs w:val="32"/>
          <w:lang w:val="en-US" w:eastAsia="zh-CN"/>
        </w:rPr>
        <w:t>相应信息系统涉及的</w:t>
      </w:r>
      <w:r>
        <w:rPr>
          <w:rFonts w:hint="default" w:ascii="仿宋_GB2312" w:hAnsi="仿宋_GB2312" w:eastAsia="仿宋_GB2312" w:cs="仿宋_GB2312"/>
          <w:sz w:val="32"/>
          <w:szCs w:val="32"/>
          <w:lang w:val="en-US" w:eastAsia="zh-CN"/>
        </w:rPr>
        <w:t>物理和环境安全、网络和通信安全、设备和计算安全、应用和数据安全、管理制度、人员管理、建设运行、应急处置</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安全层面</w:t>
      </w:r>
      <w:r>
        <w:rPr>
          <w:rFonts w:hint="eastAsia" w:ascii="仿宋_GB2312" w:hAnsi="仿宋_GB2312" w:eastAsia="仿宋_GB2312" w:cs="仿宋_GB2312"/>
          <w:sz w:val="32"/>
          <w:szCs w:val="32"/>
          <w:lang w:val="en-US" w:eastAsia="zh-CN"/>
        </w:rPr>
        <w:t>。</w:t>
      </w:r>
    </w:p>
    <w:p w14:paraId="6521350F">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（3）商用密码评估现场实施完成后，</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出具</w:t>
      </w:r>
      <w:r>
        <w:rPr>
          <w:rFonts w:hint="eastAsia" w:ascii="仿宋_GB2312" w:hAnsi="仿宋_GB2312" w:eastAsia="仿宋_GB2312" w:cs="仿宋_GB2312"/>
          <w:sz w:val="32"/>
          <w:szCs w:val="32"/>
          <w:lang w:val="en-US" w:eastAsia="zh-CN"/>
        </w:rPr>
        <w:t>初测</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&lt;XXX</w:t>
      </w:r>
      <w:r>
        <w:rPr>
          <w:rFonts w:hint="default"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val="en-US" w:eastAsia="zh-CN"/>
        </w:rPr>
        <w:t>&gt;</w:t>
      </w:r>
      <w:r>
        <w:rPr>
          <w:rFonts w:hint="default" w:ascii="仿宋_GB2312" w:hAnsi="仿宋_GB2312" w:eastAsia="仿宋_GB2312" w:cs="仿宋_GB2312"/>
          <w:sz w:val="32"/>
          <w:szCs w:val="32"/>
          <w:lang w:val="en-US" w:eastAsia="zh-CN"/>
        </w:rPr>
        <w:t>商用密码应用安全性评估报告》</w:t>
      </w:r>
      <w:r>
        <w:rPr>
          <w:rFonts w:hint="eastAsia" w:ascii="仿宋_GB2312" w:hAnsi="仿宋_GB2312" w:eastAsia="仿宋_GB2312" w:cs="仿宋_GB2312"/>
          <w:sz w:val="32"/>
          <w:szCs w:val="32"/>
          <w:lang w:val="en-US" w:eastAsia="zh-CN"/>
        </w:rPr>
        <w:t>和《整改建议清单》。</w:t>
      </w:r>
    </w:p>
    <w:p w14:paraId="6D0ADFA5">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甲方按照《整改建议清单》完成相应整改工作后，乙方应于7个工作日内对受评系统开展复评，形成正式的《&lt;XXX系统&gt;商用密码应用安全性评估报告》，并配合将报告报送密码管理部门备案，同时取得密码管理部门审核通过的密评结果（系统）备案材料接收回执</w:t>
      </w:r>
      <w:r>
        <w:rPr>
          <w:rFonts w:hint="default" w:ascii="仿宋_GB2312" w:hAnsi="仿宋_GB2312" w:eastAsia="仿宋_GB2312" w:cs="仿宋_GB2312"/>
          <w:sz w:val="32"/>
          <w:szCs w:val="32"/>
          <w:lang w:val="en-US" w:eastAsia="zh-CN"/>
        </w:rPr>
        <w:t>。</w:t>
      </w:r>
    </w:p>
    <w:p w14:paraId="529F2CBA">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3.售后服务</w:t>
      </w:r>
    </w:p>
    <w:p w14:paraId="278A83F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每个系统取得密码管理部门审核通过的密评结果（系统）备案材料接收回执后1年</w:t>
      </w:r>
      <w:r>
        <w:rPr>
          <w:rFonts w:hint="default"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lang w:val="en-US" w:eastAsia="zh-CN"/>
        </w:rPr>
        <w:t>需提供以下售后服务:</w:t>
      </w:r>
    </w:p>
    <w:p w14:paraId="4FC13479">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（1）若被测系统存在未完成整改事项，乙方需</w:t>
      </w:r>
      <w:r>
        <w:rPr>
          <w:rFonts w:hint="eastAsia" w:ascii="仿宋_GB2312" w:hAnsi="仿宋_GB2312" w:eastAsia="仿宋_GB2312" w:cs="仿宋_GB2312"/>
          <w:sz w:val="32"/>
          <w:szCs w:val="32"/>
        </w:rPr>
        <w:t>基于系统现状指导</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进行系统整改</w:t>
      </w:r>
      <w:r>
        <w:rPr>
          <w:rFonts w:hint="eastAsia" w:ascii="仿宋_GB2312" w:hAnsi="仿宋_GB2312" w:eastAsia="仿宋_GB2312" w:cs="仿宋_GB2312"/>
          <w:sz w:val="32"/>
          <w:szCs w:val="32"/>
          <w:lang w:eastAsia="zh-CN"/>
        </w:rPr>
        <w:t>，并在整改后提供加盖乙方单位公章的《</w:t>
      </w:r>
      <w:r>
        <w:rPr>
          <w:rFonts w:hint="eastAsia" w:ascii="仿宋_GB2312" w:hAnsi="仿宋_GB2312" w:eastAsia="仿宋_GB2312" w:cs="仿宋_GB2312"/>
          <w:sz w:val="32"/>
          <w:szCs w:val="32"/>
          <w:lang w:val="en-US" w:eastAsia="zh-CN"/>
        </w:rPr>
        <w:t>XXX系统</w:t>
      </w:r>
      <w:r>
        <w:rPr>
          <w:rFonts w:hint="eastAsia" w:ascii="仿宋_GB2312" w:hAnsi="仿宋_GB2312" w:eastAsia="仿宋_GB2312" w:cs="仿宋_GB2312"/>
          <w:sz w:val="32"/>
          <w:szCs w:val="32"/>
          <w:lang w:eastAsia="zh-CN"/>
        </w:rPr>
        <w:t>整改内容复核报告》</w:t>
      </w:r>
      <w:r>
        <w:rPr>
          <w:rFonts w:hint="eastAsia" w:ascii="仿宋_GB2312" w:hAnsi="仿宋_GB2312" w:eastAsia="仿宋_GB2312" w:cs="仿宋_GB2312"/>
          <w:sz w:val="32"/>
          <w:szCs w:val="32"/>
        </w:rPr>
        <w:t>。</w:t>
      </w:r>
    </w:p>
    <w:p w14:paraId="4F0F0B6A">
      <w:pPr>
        <w:spacing w:line="560" w:lineRule="exact"/>
        <w:ind w:firstLine="640" w:firstLineChars="200"/>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）项目验收后一年内提供应急保障工作，对于系统所在单位应急保障要求，提供现场技术咨询服务，并确保技术人员能够在2小时之内到达现场。</w:t>
      </w:r>
    </w:p>
    <w:p w14:paraId="4BF0E939">
      <w:pPr>
        <w:pStyle w:val="8"/>
        <w:spacing w:line="576" w:lineRule="exact"/>
        <w:ind w:firstLine="620" w:firstLineChars="200"/>
        <w:outlineLvl w:val="1"/>
        <w:rPr>
          <w:rFonts w:ascii="楷体_GB2312" w:hAnsi="楷体_GB2312" w:eastAsia="楷体_GB2312" w:cs="楷体_GB2312"/>
          <w:b w:val="0"/>
          <w:bCs w:val="0"/>
          <w:color w:val="auto"/>
          <w:spacing w:val="-5"/>
          <w:sz w:val="32"/>
          <w:szCs w:val="32"/>
          <w:highlight w:val="none"/>
          <w:lang w:eastAsia="zh-CN"/>
        </w:rPr>
      </w:pPr>
      <w:r>
        <w:rPr>
          <w:rFonts w:hint="eastAsia" w:ascii="楷体_GB2312" w:hAnsi="楷体_GB2312" w:eastAsia="楷体_GB2312" w:cs="楷体_GB2312"/>
          <w:b w:val="0"/>
          <w:bCs w:val="0"/>
          <w:color w:val="auto"/>
          <w:spacing w:val="-5"/>
          <w:sz w:val="32"/>
          <w:szCs w:val="32"/>
          <w:highlight w:val="none"/>
          <w:lang w:val="en-US" w:eastAsia="zh-CN"/>
        </w:rPr>
        <w:t>（二）</w:t>
      </w:r>
      <w:r>
        <w:rPr>
          <w:rFonts w:hint="eastAsia" w:ascii="楷体_GB2312" w:hAnsi="楷体_GB2312" w:eastAsia="楷体_GB2312" w:cs="楷体_GB2312"/>
          <w:b w:val="0"/>
          <w:bCs w:val="0"/>
          <w:color w:val="auto"/>
          <w:spacing w:val="-5"/>
          <w:sz w:val="32"/>
          <w:szCs w:val="32"/>
          <w:highlight w:val="none"/>
          <w:lang w:eastAsia="zh-CN"/>
        </w:rPr>
        <w:t>技术服务方式</w:t>
      </w:r>
    </w:p>
    <w:p w14:paraId="74301E13">
      <w:pPr>
        <w:pStyle w:val="8"/>
        <w:spacing w:line="576" w:lineRule="exact"/>
        <w:ind w:firstLine="620" w:firstLineChars="200"/>
        <w:rPr>
          <w:rFonts w:ascii="仿宋_GB2312" w:hAnsi="仿宋_GB2312" w:eastAsia="仿宋_GB2312" w:cs="仿宋_GB2312"/>
          <w:color w:val="auto"/>
          <w:spacing w:val="-5"/>
          <w:sz w:val="32"/>
          <w:szCs w:val="32"/>
          <w:highlight w:val="none"/>
          <w:lang w:eastAsia="zh-CN"/>
        </w:rPr>
      </w:pPr>
      <w:r>
        <w:rPr>
          <w:rFonts w:hint="eastAsia" w:ascii="仿宋_GB2312" w:hAnsi="仿宋_GB2312" w:eastAsia="仿宋_GB2312" w:cs="仿宋_GB2312"/>
          <w:color w:val="auto"/>
          <w:spacing w:val="-5"/>
          <w:sz w:val="32"/>
          <w:szCs w:val="32"/>
          <w:highlight w:val="none"/>
          <w:lang w:eastAsia="zh-CN"/>
        </w:rPr>
        <w:t>安排专业技术人员以现场或远程检查方式，为甲方提供相关服务。</w:t>
      </w:r>
    </w:p>
    <w:p w14:paraId="3CDA914B">
      <w:pPr>
        <w:pStyle w:val="8"/>
        <w:spacing w:line="576" w:lineRule="exact"/>
        <w:ind w:firstLine="620" w:firstLineChars="200"/>
        <w:outlineLvl w:val="1"/>
        <w:rPr>
          <w:rFonts w:hint="eastAsia" w:ascii="楷体_GB2312" w:hAnsi="楷体_GB2312" w:eastAsia="楷体_GB2312" w:cs="楷体_GB2312"/>
          <w:b w:val="0"/>
          <w:bCs w:val="0"/>
          <w:color w:val="auto"/>
          <w:spacing w:val="-5"/>
          <w:sz w:val="32"/>
          <w:szCs w:val="32"/>
          <w:highlight w:val="none"/>
          <w:lang w:val="en-US" w:eastAsia="zh-CN"/>
        </w:rPr>
      </w:pPr>
      <w:r>
        <w:rPr>
          <w:rFonts w:hint="eastAsia" w:ascii="楷体_GB2312" w:hAnsi="楷体_GB2312" w:eastAsia="楷体_GB2312" w:cs="楷体_GB2312"/>
          <w:b w:val="0"/>
          <w:bCs w:val="0"/>
          <w:color w:val="auto"/>
          <w:spacing w:val="-5"/>
          <w:sz w:val="32"/>
          <w:szCs w:val="32"/>
          <w:highlight w:val="none"/>
          <w:lang w:val="en-US" w:eastAsia="zh-CN"/>
        </w:rPr>
        <w:t>（三）成果文件</w:t>
      </w:r>
    </w:p>
    <w:p w14:paraId="4E22BD07">
      <w:pPr>
        <w:pStyle w:val="8"/>
        <w:spacing w:line="576"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依据国家与行业相关标准，乙方应</w:t>
      </w:r>
      <w:r>
        <w:rPr>
          <w:rFonts w:hint="eastAsia" w:ascii="仿宋_GB2312" w:hAnsi="仿宋_GB2312" w:eastAsia="仿宋_GB2312" w:cs="仿宋_GB2312"/>
          <w:sz w:val="32"/>
          <w:szCs w:val="32"/>
          <w:lang w:val="en-US" w:eastAsia="zh-CN"/>
        </w:rPr>
        <w:t>出具《&lt;XXX系统密码应用方案&gt; 商用密码应用安全性评估报告》</w:t>
      </w:r>
      <w:r>
        <w:rPr>
          <w:rFonts w:hint="default" w:ascii="仿宋_GB2312" w:hAnsi="仿宋_GB2312" w:eastAsia="仿宋_GB2312" w:cs="仿宋_GB2312"/>
          <w:sz w:val="32"/>
          <w:szCs w:val="32"/>
          <w:lang w:val="en-US" w:eastAsia="zh-CN"/>
        </w:rPr>
        <w:t>，并协助完成</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该方案的报备工作，取得</w:t>
      </w:r>
      <w:r>
        <w:rPr>
          <w:rFonts w:hint="eastAsia" w:ascii="仿宋_GB2312" w:hAnsi="仿宋_GB2312" w:eastAsia="仿宋_GB2312" w:cs="仿宋_GB2312"/>
          <w:sz w:val="32"/>
          <w:szCs w:val="32"/>
          <w:lang w:val="en-US" w:eastAsia="zh-CN"/>
        </w:rPr>
        <w:t>密码管理部门审核通过的密评结果（方案）备案材料接收回执</w:t>
      </w:r>
      <w:r>
        <w:rPr>
          <w:rFonts w:hint="default" w:ascii="仿宋_GB2312" w:hAnsi="仿宋_GB2312" w:eastAsia="仿宋_GB2312" w:cs="仿宋_GB2312"/>
          <w:sz w:val="32"/>
          <w:szCs w:val="32"/>
          <w:lang w:val="en-US" w:eastAsia="zh-CN"/>
        </w:rPr>
        <w:t>；开展系统商用密码应用安全性评估，形成《&lt;XXX系统&gt;商用密码应用安全性评估报告》及《整改建议清单》，并同步</w:t>
      </w:r>
      <w:r>
        <w:rPr>
          <w:rFonts w:hint="eastAsia" w:ascii="仿宋_GB2312" w:hAnsi="仿宋_GB2312" w:eastAsia="仿宋_GB2312" w:cs="仿宋_GB2312"/>
          <w:sz w:val="32"/>
          <w:szCs w:val="32"/>
          <w:lang w:val="en-US" w:eastAsia="zh-CN"/>
        </w:rPr>
        <w:t>配合甲方</w:t>
      </w:r>
      <w:r>
        <w:rPr>
          <w:rFonts w:hint="default" w:ascii="仿宋_GB2312" w:hAnsi="仿宋_GB2312" w:eastAsia="仿宋_GB2312" w:cs="仿宋_GB2312"/>
          <w:sz w:val="32"/>
          <w:szCs w:val="32"/>
          <w:lang w:val="en-US" w:eastAsia="zh-CN"/>
        </w:rPr>
        <w:t>完成评估报告的备案，最终取得</w:t>
      </w:r>
      <w:r>
        <w:rPr>
          <w:rFonts w:hint="eastAsia" w:ascii="仿宋_GB2312" w:hAnsi="仿宋_GB2312" w:eastAsia="仿宋_GB2312" w:cs="仿宋_GB2312"/>
          <w:sz w:val="32"/>
          <w:szCs w:val="32"/>
          <w:lang w:val="en-US" w:eastAsia="zh-CN"/>
        </w:rPr>
        <w:t>密码管理部门审核通过的密评结果（系统）备案材料接收回执</w:t>
      </w:r>
      <w:r>
        <w:rPr>
          <w:rFonts w:hint="default" w:ascii="仿宋_GB2312" w:hAnsi="仿宋_GB2312" w:eastAsia="仿宋_GB2312" w:cs="仿宋_GB2312"/>
          <w:sz w:val="32"/>
          <w:szCs w:val="32"/>
          <w:lang w:val="en-US" w:eastAsia="zh-CN"/>
        </w:rPr>
        <w:t>。</w:t>
      </w:r>
    </w:p>
    <w:p w14:paraId="629F319F">
      <w:pPr>
        <w:pStyle w:val="8"/>
        <w:spacing w:line="576" w:lineRule="exact"/>
        <w:ind w:firstLine="620" w:firstLineChars="200"/>
        <w:outlineLvl w:val="1"/>
        <w:rPr>
          <w:rFonts w:hint="eastAsia" w:ascii="楷体_GB2312" w:hAnsi="楷体_GB2312" w:eastAsia="楷体_GB2312" w:cs="楷体_GB2312"/>
          <w:b w:val="0"/>
          <w:bCs w:val="0"/>
          <w:color w:val="auto"/>
          <w:spacing w:val="-5"/>
          <w:sz w:val="32"/>
          <w:szCs w:val="32"/>
          <w:highlight w:val="none"/>
          <w:lang w:val="en-US" w:eastAsia="zh-CN"/>
        </w:rPr>
      </w:pPr>
      <w:r>
        <w:rPr>
          <w:rFonts w:hint="eastAsia" w:ascii="楷体_GB2312" w:hAnsi="楷体_GB2312" w:eastAsia="楷体_GB2312" w:cs="楷体_GB2312"/>
          <w:b w:val="0"/>
          <w:bCs w:val="0"/>
          <w:color w:val="auto"/>
          <w:spacing w:val="-5"/>
          <w:sz w:val="32"/>
          <w:szCs w:val="32"/>
          <w:highlight w:val="none"/>
          <w:lang w:val="en-US" w:eastAsia="zh-CN"/>
        </w:rPr>
        <w:t>（四）技术服务地点</w:t>
      </w:r>
    </w:p>
    <w:p w14:paraId="66D42835">
      <w:pPr>
        <w:pStyle w:val="8"/>
        <w:spacing w:line="576" w:lineRule="exact"/>
        <w:ind w:firstLine="62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甲方指定地点。</w:t>
      </w:r>
    </w:p>
    <w:p w14:paraId="075D0C9C">
      <w:pPr>
        <w:pStyle w:val="8"/>
        <w:spacing w:line="576" w:lineRule="exact"/>
        <w:ind w:firstLine="620" w:firstLineChars="200"/>
        <w:outlineLvl w:val="1"/>
        <w:rPr>
          <w:rFonts w:hint="eastAsia" w:ascii="楷体_GB2312" w:hAnsi="楷体_GB2312" w:eastAsia="楷体_GB2312" w:cs="楷体_GB2312"/>
          <w:b w:val="0"/>
          <w:bCs w:val="0"/>
          <w:color w:val="auto"/>
          <w:spacing w:val="-5"/>
          <w:sz w:val="32"/>
          <w:szCs w:val="32"/>
          <w:highlight w:val="none"/>
          <w:lang w:val="en-US" w:eastAsia="zh-CN"/>
        </w:rPr>
      </w:pPr>
      <w:r>
        <w:rPr>
          <w:rFonts w:hint="eastAsia" w:ascii="楷体_GB2312" w:hAnsi="楷体_GB2312" w:eastAsia="楷体_GB2312" w:cs="楷体_GB2312"/>
          <w:b w:val="0"/>
          <w:bCs w:val="0"/>
          <w:color w:val="auto"/>
          <w:spacing w:val="-5"/>
          <w:sz w:val="32"/>
          <w:szCs w:val="32"/>
          <w:highlight w:val="none"/>
          <w:lang w:val="en-US" w:eastAsia="zh-CN"/>
        </w:rPr>
        <w:t>（五）验收</w:t>
      </w:r>
    </w:p>
    <w:p w14:paraId="24F5E62E">
      <w:pPr>
        <w:pStyle w:val="8"/>
        <w:spacing w:line="576" w:lineRule="exact"/>
        <w:ind w:firstLine="620" w:firstLineChars="200"/>
        <w:rPr>
          <w:rFonts w:hint="default"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eastAsia="zh-CN"/>
        </w:rPr>
        <w:t>在乙方向甲方交付经甲方确认的每批次测评系统的成果文件后，乙方应当以书面形式向甲方递交验收申请，甲方在收到验收申请后的【15】个工作日内完成验收。</w:t>
      </w:r>
    </w:p>
    <w:p w14:paraId="0BBC9170">
      <w:pPr>
        <w:pStyle w:val="8"/>
        <w:spacing w:before="120" w:line="184" w:lineRule="auto"/>
        <w:ind w:left="682"/>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四、双方权利与义务​</w:t>
      </w:r>
    </w:p>
    <w:p w14:paraId="2CE2995B">
      <w:pPr>
        <w:pStyle w:val="8"/>
        <w:spacing w:line="576" w:lineRule="exact"/>
        <w:ind w:firstLine="620" w:firstLineChars="200"/>
        <w:rPr>
          <w:rFonts w:hint="eastAsia" w:ascii="楷体_GB2312" w:hAnsi="楷体_GB2312" w:eastAsia="楷体_GB2312" w:cs="楷体_GB2312"/>
          <w:b w:val="0"/>
          <w:bCs w:val="0"/>
          <w:color w:val="auto"/>
          <w:spacing w:val="-5"/>
          <w:sz w:val="32"/>
          <w:szCs w:val="32"/>
          <w:highlight w:val="none"/>
          <w:lang w:val="en-US" w:eastAsia="zh-CN"/>
        </w:rPr>
      </w:pPr>
      <w:r>
        <w:rPr>
          <w:rFonts w:hint="eastAsia" w:ascii="楷体_GB2312" w:hAnsi="楷体_GB2312" w:eastAsia="楷体_GB2312" w:cs="楷体_GB2312"/>
          <w:b w:val="0"/>
          <w:bCs w:val="0"/>
          <w:color w:val="auto"/>
          <w:spacing w:val="-5"/>
          <w:sz w:val="32"/>
          <w:szCs w:val="32"/>
          <w:highlight w:val="none"/>
          <w:lang w:val="en-US" w:eastAsia="zh-CN"/>
        </w:rPr>
        <w:t>（一）甲方权利与义务​</w:t>
      </w:r>
    </w:p>
    <w:p w14:paraId="320FBB70">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1.甲方有权要求乙方完成本合同约定的技术服务工作，并提交相应成果文件。​</w:t>
      </w:r>
    </w:p>
    <w:p w14:paraId="4E230B1F">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2.甲方应向乙方提供开展评估工作所需的全部资料和必要的协助，包括但不限于密码应用方案文档、业务系统说明、相关技术资料等，并保证所提供资料的真实性、准确性和完整性。​</w:t>
      </w:r>
    </w:p>
    <w:p w14:paraId="1D79664D">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3.甲方应按照本合同约定的支付方式向乙方支付评估费用。​  4.甲方对乙方提交的评估报告享有使用权，但未经乙方书面同意，不得向第三方泄露乙方评估过程中涉及的技术秘密和商业秘密（法律法规另有规定除外）。​</w:t>
      </w:r>
    </w:p>
    <w:p w14:paraId="1089BDAC">
      <w:pPr>
        <w:pStyle w:val="8"/>
        <w:spacing w:line="576" w:lineRule="exact"/>
        <w:ind w:firstLine="620" w:firstLineChars="200"/>
        <w:rPr>
          <w:rFonts w:hint="eastAsia" w:ascii="楷体_GB2312" w:hAnsi="楷体_GB2312" w:eastAsia="楷体_GB2312" w:cs="楷体_GB2312"/>
          <w:b w:val="0"/>
          <w:bCs w:val="0"/>
          <w:color w:val="auto"/>
          <w:spacing w:val="-5"/>
          <w:sz w:val="32"/>
          <w:szCs w:val="32"/>
          <w:highlight w:val="none"/>
          <w:lang w:val="en-US" w:eastAsia="zh-CN"/>
        </w:rPr>
      </w:pPr>
      <w:r>
        <w:rPr>
          <w:rFonts w:hint="eastAsia" w:ascii="楷体_GB2312" w:hAnsi="楷体_GB2312" w:eastAsia="楷体_GB2312" w:cs="楷体_GB2312"/>
          <w:b w:val="0"/>
          <w:bCs w:val="0"/>
          <w:color w:val="auto"/>
          <w:spacing w:val="-5"/>
          <w:sz w:val="32"/>
          <w:szCs w:val="32"/>
          <w:highlight w:val="none"/>
          <w:lang w:val="en-US" w:eastAsia="zh-CN"/>
        </w:rPr>
        <w:t>（二）乙方权利与义务​</w:t>
      </w:r>
    </w:p>
    <w:p w14:paraId="12639162">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1.乙方有权要求甲方按照合同约定提供评估工作所需的资料和协助，并支付评估费用。​</w:t>
      </w:r>
    </w:p>
    <w:p w14:paraId="19E2BCA2">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2.乙方应按照国家相关标准、规范和本合同约定，组织专业人员成立评估小组，在约定的时间内完成密码应用方案评估工作，并向甲方提交相应成果文件。</w:t>
      </w:r>
    </w:p>
    <w:p w14:paraId="38674BCF">
      <w:pPr>
        <w:pStyle w:val="8"/>
        <w:spacing w:line="576"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乙方应对评估过程中知悉的甲方商业秘密、技术秘密及其他敏感信息予以保密，未经甲方书面同意，不得向任何第三方披露（法律法规另有规定除外）。保密期限自取得密码管理部门审核通过的密评结果（系统）备案材料接收回执后2年。</w:t>
      </w:r>
    </w:p>
    <w:p w14:paraId="000CF259">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4.乙方应确保评估工作的独立性和公正性，不得与第三方串通损害甲方利益。如因乙方原因导致评估结果失实或给甲方造成损失的，乙方应承担相应的赔偿责任。​</w:t>
      </w:r>
    </w:p>
    <w:p w14:paraId="113F8C50">
      <w:pPr>
        <w:pStyle w:val="8"/>
        <w:spacing w:line="576"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5.乙方应确保其具有商用密码检测认证的相关资质。</w:t>
      </w:r>
    </w:p>
    <w:p w14:paraId="4E90FEAB">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违约责任</w:t>
      </w:r>
    </w:p>
    <w:p w14:paraId="07BE18E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任何一方违反本合同约定，应承担违约责任，赔偿对方因此遭受的损失。</w:t>
      </w:r>
    </w:p>
    <w:p w14:paraId="24516A25">
      <w:pPr>
        <w:spacing w:line="560" w:lineRule="exact"/>
        <w:ind w:firstLine="620" w:firstLineChars="200"/>
        <w:rPr>
          <w:rFonts w:hint="eastAsia" w:ascii="仿宋_GB2312" w:hAnsi="仿宋_GB2312" w:eastAsia="仿宋_GB2312" w:cs="仿宋_GB2312"/>
          <w:color w:val="auto"/>
          <w:spacing w:val="-5"/>
          <w:kern w:val="2"/>
          <w:sz w:val="32"/>
          <w:szCs w:val="32"/>
          <w:highlight w:val="none"/>
          <w:lang w:val="en-US" w:eastAsia="zh-CN" w:bidi="ar-SA"/>
        </w:rPr>
      </w:pPr>
      <w:r>
        <w:rPr>
          <w:rFonts w:hint="eastAsia" w:ascii="仿宋_GB2312" w:hAnsi="仿宋_GB2312" w:eastAsia="仿宋_GB2312" w:cs="仿宋_GB2312"/>
          <w:color w:val="auto"/>
          <w:spacing w:val="-5"/>
          <w:kern w:val="2"/>
          <w:sz w:val="32"/>
          <w:szCs w:val="32"/>
          <w:highlight w:val="none"/>
          <w:lang w:val="en-US" w:eastAsia="zh-CN" w:bidi="ar-SA"/>
        </w:rPr>
        <w:t>（一）如甲方迟于合同规定时间付款，除不可抗力因素外，自超过付款期限之日起，每周甲方应付给乙方该批次未付款金额0.1%的违约金，违约金总计不超过该批次付款金额的1%，不足一周按一周计算。</w:t>
      </w:r>
    </w:p>
    <w:p w14:paraId="2B91D39A">
      <w:pPr>
        <w:spacing w:line="560" w:lineRule="exact"/>
        <w:ind w:firstLine="620" w:firstLineChars="200"/>
        <w:rPr>
          <w:rFonts w:hint="eastAsia" w:ascii="仿宋_GB2312" w:hAnsi="仿宋_GB2312" w:eastAsia="仿宋_GB2312" w:cs="仿宋_GB2312"/>
          <w:color w:val="auto"/>
          <w:spacing w:val="-5"/>
          <w:kern w:val="2"/>
          <w:sz w:val="32"/>
          <w:szCs w:val="32"/>
          <w:highlight w:val="none"/>
          <w:lang w:val="en-US" w:eastAsia="zh-CN" w:bidi="ar-SA"/>
        </w:rPr>
      </w:pPr>
      <w:r>
        <w:rPr>
          <w:rFonts w:hint="eastAsia" w:ascii="仿宋_GB2312" w:hAnsi="仿宋_GB2312" w:eastAsia="仿宋_GB2312" w:cs="仿宋_GB2312"/>
          <w:color w:val="auto"/>
          <w:spacing w:val="-5"/>
          <w:kern w:val="2"/>
          <w:sz w:val="32"/>
          <w:szCs w:val="32"/>
          <w:highlight w:val="none"/>
          <w:lang w:val="en-US" w:eastAsia="zh-CN" w:bidi="ar-SA"/>
        </w:rPr>
        <w:t>（二）如果乙方违背了本合同及附件约定的技术和服务的要求或承诺保证，甲方可以要求乙方退还全部款项，并有权要求乙方承担每批次测评服务的金额10%的违约金。乙方将以专业化的工作方式向甲方提供合同规定的技术服务，以增加甲方信息化建设能力。</w:t>
      </w:r>
    </w:p>
    <w:p w14:paraId="291A09D0">
      <w:pPr>
        <w:spacing w:line="560" w:lineRule="exact"/>
        <w:ind w:firstLine="620" w:firstLineChars="200"/>
        <w:rPr>
          <w:rFonts w:hint="eastAsia" w:ascii="仿宋_GB2312" w:hAnsi="仿宋_GB2312" w:eastAsia="仿宋_GB2312" w:cs="仿宋_GB2312"/>
          <w:color w:val="auto"/>
          <w:spacing w:val="-5"/>
          <w:kern w:val="2"/>
          <w:sz w:val="32"/>
          <w:szCs w:val="32"/>
          <w:highlight w:val="none"/>
          <w:lang w:val="en-US" w:eastAsia="zh-CN" w:bidi="ar-SA"/>
        </w:rPr>
      </w:pPr>
      <w:r>
        <w:rPr>
          <w:rFonts w:hint="eastAsia" w:ascii="仿宋_GB2312" w:hAnsi="仿宋_GB2312" w:eastAsia="仿宋_GB2312" w:cs="仿宋_GB2312"/>
          <w:color w:val="auto"/>
          <w:spacing w:val="-5"/>
          <w:kern w:val="2"/>
          <w:sz w:val="32"/>
          <w:szCs w:val="32"/>
          <w:highlight w:val="none"/>
          <w:lang w:val="en-US" w:eastAsia="zh-CN" w:bidi="ar-SA"/>
        </w:rPr>
        <w:t>（三）如果由于一方对合同中规定的义务履行失误，或一方没有获得履行本合同必要的政府许可，或一方有侵犯他人权利或违反法律法规行为，由此造成本合同无法正常履行的，由此产生的损失、债务、及一切法律责任将由该方全部承担。守约方可解除合同，并由违约方赔偿全部损失，损失无法计算的，按每批次测评服务的金额的10%计算。</w:t>
      </w:r>
    </w:p>
    <w:p w14:paraId="49944B84">
      <w:pPr>
        <w:spacing w:line="560" w:lineRule="exact"/>
        <w:ind w:firstLine="620" w:firstLineChars="200"/>
        <w:rPr>
          <w:rFonts w:hint="eastAsia" w:ascii="仿宋_GB2312" w:hAnsi="仿宋_GB2312" w:eastAsia="仿宋_GB2312" w:cs="仿宋_GB2312"/>
          <w:color w:val="auto"/>
          <w:spacing w:val="-5"/>
          <w:kern w:val="2"/>
          <w:sz w:val="32"/>
          <w:szCs w:val="32"/>
          <w:highlight w:val="none"/>
          <w:lang w:val="en-US" w:eastAsia="zh-CN" w:bidi="ar-SA"/>
        </w:rPr>
      </w:pPr>
      <w:r>
        <w:rPr>
          <w:rFonts w:hint="eastAsia" w:ascii="仿宋_GB2312" w:hAnsi="仿宋_GB2312" w:eastAsia="仿宋_GB2312" w:cs="仿宋_GB2312"/>
          <w:color w:val="auto"/>
          <w:spacing w:val="-5"/>
          <w:kern w:val="2"/>
          <w:sz w:val="32"/>
          <w:szCs w:val="32"/>
          <w:highlight w:val="none"/>
          <w:lang w:val="en-US" w:eastAsia="zh-CN" w:bidi="ar-SA"/>
        </w:rPr>
        <w:t>（四）任何一方违反本合同约定的保密义务给对方造成损失的，应当承担违约责任，造成损失的，应当予以赔偿，损失无法计算的，按每批次测评服务的金额的10%计算。</w:t>
      </w:r>
    </w:p>
    <w:p w14:paraId="7306F953">
      <w:pPr>
        <w:spacing w:line="560" w:lineRule="exact"/>
        <w:ind w:firstLine="640" w:firstLineChars="200"/>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六、合同变更及解除</w:t>
      </w:r>
    </w:p>
    <w:p w14:paraId="6D97C908">
      <w:pPr>
        <w:spacing w:line="560" w:lineRule="exact"/>
        <w:ind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rPr>
        <w:t>甲、乙双方协商一致，可以对合同条款进行变更。</w:t>
      </w:r>
    </w:p>
    <w:p w14:paraId="730816B0">
      <w:pPr>
        <w:spacing w:line="560" w:lineRule="exact"/>
        <w:ind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rPr>
        <w:t>未经合同双方书面同意，任何一方不得提前终止本合同。</w:t>
      </w:r>
    </w:p>
    <w:p w14:paraId="185B559A">
      <w:pPr>
        <w:spacing w:line="560" w:lineRule="exact"/>
        <w:ind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rPr>
        <w:t>甲、乙双方协商一致，可以解除合同。任何一方需提前解除本合同的，应提前[7]日通知对方。</w:t>
      </w:r>
    </w:p>
    <w:p w14:paraId="02EFAB92">
      <w:pPr>
        <w:spacing w:line="560" w:lineRule="exact"/>
        <w:ind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rPr>
        <w:t>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因不可抗力致使不能实现合同目的；</w:t>
      </w:r>
    </w:p>
    <w:p w14:paraId="6F78E514">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其他根据法律规定或合同约定可以解除合同的情形；</w:t>
      </w:r>
    </w:p>
    <w:p w14:paraId="198D075E">
      <w:pPr>
        <w:spacing w:line="560" w:lineRule="exact"/>
        <w:ind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kern w:val="2"/>
          <w:sz w:val="32"/>
          <w:szCs w:val="32"/>
          <w:highlight w:val="none"/>
          <w:lang w:val="en-US" w:eastAsia="zh-CN" w:bidi="ar-SA"/>
        </w:rPr>
        <w:t>（五）</w:t>
      </w:r>
      <w:r>
        <w:rPr>
          <w:rFonts w:hint="eastAsia" w:ascii="仿宋_GB2312" w:hAnsi="仿宋_GB2312" w:eastAsia="仿宋_GB2312" w:cs="仿宋_GB2312"/>
          <w:color w:val="auto"/>
          <w:sz w:val="32"/>
          <w:szCs w:val="32"/>
          <w:highlight w:val="none"/>
        </w:rPr>
        <w:t>合同的解除不影响其他任何合同延伸义务的继续履行。</w:t>
      </w:r>
    </w:p>
    <w:p w14:paraId="3CD853C1">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保密条款</w:t>
      </w:r>
    </w:p>
    <w:p w14:paraId="5553478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ascii="仿宋_GB2312" w:hAnsi="仿宋_GB2312" w:eastAsia="仿宋_GB2312" w:cs="仿宋_GB2312"/>
          <w:color w:val="auto"/>
          <w:sz w:val="32"/>
          <w:szCs w:val="32"/>
          <w:highlight w:val="none"/>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属于公有领域的信息（并非违反本合同而形成的结果）</w:t>
      </w:r>
      <w:r>
        <w:rPr>
          <w:rFonts w:hint="eastAsia" w:ascii="仿宋_GB2312" w:hAnsi="仿宋_GB2312" w:eastAsia="仿宋_GB2312" w:cs="仿宋_GB2312"/>
          <w:color w:val="auto"/>
          <w:sz w:val="32"/>
          <w:szCs w:val="32"/>
          <w:highlight w:val="none"/>
        </w:rPr>
        <w:t>。</w:t>
      </w:r>
    </w:p>
    <w:p w14:paraId="2F3B9CF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ascii="仿宋_GB2312" w:hAnsi="仿宋_GB2312" w:eastAsia="仿宋_GB2312" w:cs="仿宋_GB2312"/>
          <w:color w:val="auto"/>
          <w:sz w:val="32"/>
          <w:szCs w:val="32"/>
          <w:highlight w:val="none"/>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color w:val="auto"/>
          <w:sz w:val="32"/>
          <w:szCs w:val="32"/>
          <w:highlight w:val="none"/>
        </w:rPr>
        <w:t>法律法规</w:t>
      </w:r>
      <w:r>
        <w:rPr>
          <w:rFonts w:ascii="仿宋_GB2312" w:hAnsi="仿宋_GB2312" w:eastAsia="仿宋_GB2312" w:cs="仿宋_GB2312"/>
          <w:color w:val="auto"/>
          <w:sz w:val="32"/>
          <w:szCs w:val="32"/>
          <w:highlight w:val="none"/>
        </w:rPr>
        <w:t>另有规定或双方另有约定的除外。</w:t>
      </w:r>
      <w:r>
        <w:rPr>
          <w:rFonts w:hint="eastAsia" w:ascii="仿宋_GB2312" w:hAnsi="仿宋_GB2312" w:eastAsia="仿宋_GB2312" w:cs="仿宋_GB2312"/>
          <w:sz w:val="32"/>
          <w:szCs w:val="32"/>
          <w:highlight w:val="none"/>
          <w:lang w:val="en-US" w:eastAsia="zh-CN"/>
        </w:rPr>
        <w:t>保密期限自取得密码管理部门审核通过的密评结果（系统）备案材料接收回执后2年</w:t>
      </w:r>
      <w:r>
        <w:rPr>
          <w:rFonts w:ascii="仿宋_GB2312" w:hAnsi="仿宋_GB2312" w:eastAsia="仿宋_GB2312" w:cs="仿宋_GB2312"/>
          <w:color w:val="auto"/>
          <w:sz w:val="32"/>
          <w:szCs w:val="32"/>
          <w:highlight w:val="none"/>
        </w:rPr>
        <w:t>。</w:t>
      </w:r>
    </w:p>
    <w:p w14:paraId="1D00872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保密条款系独立条款，不因本合同未生效、被撤销、变更、解除或终止而无效。</w:t>
      </w:r>
    </w:p>
    <w:p w14:paraId="384D55C2">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免责条款</w:t>
      </w:r>
    </w:p>
    <w:p w14:paraId="09DFB99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本合同任何一方因不可抗力不能履行或不能完全履行本合同的义务时，应在不可抗力发生之日起[7]日内通知本合同的其他方，并在不可抗力发生之日起[15]日内向其他方提供由有关部门出具的不可抗力证明。</w:t>
      </w:r>
      <w:r>
        <w:rPr>
          <w:rFonts w:hint="eastAsia" w:ascii="仿宋_GB2312" w:hAnsi="仿宋_GB2312" w:eastAsia="仿宋_GB2312" w:cs="仿宋_GB2312"/>
          <w:color w:val="auto"/>
          <w:sz w:val="32"/>
          <w:szCs w:val="32"/>
          <w:highlight w:val="none"/>
          <w:lang w:val="en-US" w:eastAsia="zh-CN"/>
        </w:rPr>
        <w:t>否则，未受影响方有权向该方请求赔偿。</w:t>
      </w:r>
    </w:p>
    <w:p w14:paraId="4B39C53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如果因不可抗力的影响致使本合同终止履行的，任何一方均有权终止本合同，并书面通知对方。</w:t>
      </w:r>
    </w:p>
    <w:p w14:paraId="570942C8">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争议解决</w:t>
      </w:r>
    </w:p>
    <w:p w14:paraId="1953C89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凡因本合同引起的或与本合同有关的任何争议，双方均应友好协商；协商不成的，通过下列第[</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]种方式解决：</w:t>
      </w:r>
    </w:p>
    <w:p w14:paraId="3E43938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（1）临时仲裁</w:t>
      </w:r>
    </w:p>
    <w:p w14:paraId="417FD59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1.1指定机构为【海南省仲裁协会】</w:t>
      </w:r>
    </w:p>
    <w:p w14:paraId="583DCA7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1.2仲裁员人数为【】</w:t>
      </w:r>
    </w:p>
    <w:p w14:paraId="558C39B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1.3仲裁语言为【】</w:t>
      </w:r>
    </w:p>
    <w:p w14:paraId="7F8F64E4">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1.4合同所适用实体法为【】</w:t>
      </w:r>
    </w:p>
    <w:p w14:paraId="3B1E743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（2）机构仲裁</w:t>
      </w:r>
    </w:p>
    <w:p w14:paraId="2BEE81C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（3）向[甲方]所在地有管辖权的人民法院提起诉讼。</w:t>
      </w:r>
    </w:p>
    <w:p w14:paraId="1729674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通知与送达</w:t>
      </w:r>
    </w:p>
    <w:p w14:paraId="24E61CB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甲乙</w:t>
      </w:r>
      <w:r>
        <w:rPr>
          <w:rFonts w:ascii="仿宋_GB2312" w:hAnsi="仿宋_GB2312" w:eastAsia="仿宋_GB2312" w:cs="仿宋_GB2312"/>
          <w:color w:val="auto"/>
          <w:sz w:val="32"/>
          <w:szCs w:val="32"/>
          <w:highlight w:val="none"/>
        </w:rPr>
        <w:t>双方确认各自的合法有效送达地址及联系方式如下（合同履行及争议解决过程中均可按照下列方式进行送达）：</w:t>
      </w:r>
    </w:p>
    <w:p w14:paraId="2AE78C4B">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甲方：</w:t>
      </w:r>
    </w:p>
    <w:p w14:paraId="0FFDD27F">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送达地址：</w:t>
      </w:r>
    </w:p>
    <w:p w14:paraId="1780FCEC">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收件人：</w:t>
      </w:r>
    </w:p>
    <w:p w14:paraId="4A73B8B5">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联系方式：</w:t>
      </w:r>
    </w:p>
    <w:p w14:paraId="5481E2D3">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乙方：</w:t>
      </w:r>
    </w:p>
    <w:p w14:paraId="15E7A826">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送达地址：</w:t>
      </w:r>
    </w:p>
    <w:p w14:paraId="732A7811">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收件人：</w:t>
      </w:r>
    </w:p>
    <w:p w14:paraId="3F4D2235">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联系方式：</w:t>
      </w:r>
    </w:p>
    <w:p w14:paraId="0D2612D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ascii="仿宋_GB2312" w:hAnsi="仿宋_GB2312" w:eastAsia="仿宋_GB2312" w:cs="仿宋_GB2312"/>
          <w:color w:val="auto"/>
          <w:sz w:val="32"/>
          <w:szCs w:val="32"/>
          <w:highlight w:val="none"/>
        </w:rPr>
        <w:t>一方变更名称、地址、联系人或联系方式的，应当在变更后</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日内及时书面通知对方当事人，对方当事人实际收到变更通知前的送达仍为有效送达，</w:t>
      </w:r>
      <w:r>
        <w:rPr>
          <w:rFonts w:hint="eastAsia" w:ascii="仿宋_GB2312" w:hAnsi="仿宋_GB2312" w:eastAsia="仿宋_GB2312" w:cs="仿宋_GB2312"/>
          <w:color w:val="auto"/>
          <w:sz w:val="32"/>
          <w:szCs w:val="32"/>
          <w:highlight w:val="none"/>
        </w:rPr>
        <w:t>电子</w:t>
      </w:r>
      <w:r>
        <w:rPr>
          <w:rFonts w:ascii="仿宋_GB2312" w:hAnsi="仿宋_GB2312" w:eastAsia="仿宋_GB2312" w:cs="仿宋_GB2312"/>
          <w:color w:val="auto"/>
          <w:sz w:val="32"/>
          <w:szCs w:val="32"/>
          <w:highlight w:val="none"/>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一方向另一方送达文件，以被送达方的签收日期作为送达日期。通过快递方式送达的，以快递签收日期为送达</w:t>
      </w:r>
      <w:r>
        <w:rPr>
          <w:rFonts w:hint="eastAsia" w:ascii="仿宋_GB2312" w:hAnsi="仿宋_GB2312" w:eastAsia="仿宋_GB2312" w:cs="仿宋_GB2312"/>
          <w:color w:val="auto"/>
          <w:sz w:val="32"/>
          <w:szCs w:val="32"/>
          <w:highlight w:val="none"/>
        </w:rPr>
        <w:t>日期</w:t>
      </w:r>
      <w:r>
        <w:rPr>
          <w:rFonts w:ascii="仿宋_GB2312" w:hAnsi="仿宋_GB2312" w:eastAsia="仿宋_GB2312" w:cs="仿宋_GB2312"/>
          <w:color w:val="auto"/>
          <w:sz w:val="32"/>
          <w:szCs w:val="32"/>
          <w:highlight w:val="none"/>
        </w:rPr>
        <w:t>。被送达方拒收或无法送达的，由交邮后第</w:t>
      </w:r>
      <w:r>
        <w:rPr>
          <w:rFonts w:hint="eastAsia" w:ascii="仿宋_GB2312" w:hAnsi="仿宋_GB2312" w:eastAsia="仿宋_GB2312" w:cs="仿宋_GB2312"/>
          <w:color w:val="auto"/>
          <w:sz w:val="32"/>
          <w:szCs w:val="32"/>
          <w:highlight w:val="none"/>
          <w:lang w:val="en-US" w:eastAsia="zh-CN"/>
        </w:rPr>
        <w:t>15</w:t>
      </w:r>
      <w:r>
        <w:rPr>
          <w:rFonts w:ascii="仿宋_GB2312" w:hAnsi="仿宋_GB2312" w:eastAsia="仿宋_GB2312" w:cs="仿宋_GB2312"/>
          <w:color w:val="auto"/>
          <w:sz w:val="32"/>
          <w:szCs w:val="32"/>
          <w:highlight w:val="none"/>
        </w:rPr>
        <w:t>日视为已经送达。通过电子文件送达的，自前述电子文件内容在发送方正确填写地址</w:t>
      </w:r>
      <w:r>
        <w:rPr>
          <w:rFonts w:hint="eastAsia" w:ascii="仿宋_GB2312" w:hAnsi="仿宋_GB2312" w:eastAsia="仿宋_GB2312" w:cs="仿宋_GB2312"/>
          <w:color w:val="auto"/>
          <w:sz w:val="32"/>
          <w:szCs w:val="32"/>
          <w:highlight w:val="none"/>
        </w:rPr>
        <w:t>且</w:t>
      </w:r>
      <w:r>
        <w:rPr>
          <w:rFonts w:ascii="仿宋_GB2312" w:hAnsi="仿宋_GB2312" w:eastAsia="仿宋_GB2312" w:cs="仿宋_GB2312"/>
          <w:color w:val="auto"/>
          <w:sz w:val="32"/>
          <w:szCs w:val="32"/>
          <w:highlight w:val="none"/>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ascii="仿宋_GB2312" w:hAnsi="仿宋_GB2312" w:eastAsia="仿宋_GB2312" w:cs="仿宋_GB2312"/>
          <w:color w:val="auto"/>
          <w:sz w:val="32"/>
          <w:szCs w:val="32"/>
          <w:highlight w:val="none"/>
        </w:rPr>
        <w:t>本条款为独立系款，不受合同整体或其他</w:t>
      </w:r>
      <w:r>
        <w:rPr>
          <w:rFonts w:hint="eastAsia" w:ascii="仿宋_GB2312" w:hAnsi="仿宋_GB2312" w:eastAsia="仿宋_GB2312" w:cs="仿宋_GB2312"/>
          <w:color w:val="auto"/>
          <w:sz w:val="32"/>
          <w:szCs w:val="32"/>
          <w:highlight w:val="none"/>
        </w:rPr>
        <w:t>条款</w:t>
      </w:r>
      <w:r>
        <w:rPr>
          <w:rFonts w:ascii="仿宋_GB2312" w:hAnsi="仿宋_GB2312" w:eastAsia="仿宋_GB2312" w:cs="仿宋_GB2312"/>
          <w:color w:val="auto"/>
          <w:sz w:val="32"/>
          <w:szCs w:val="32"/>
          <w:highlight w:val="none"/>
        </w:rPr>
        <w:t>的效力的影响，始终有效。</w:t>
      </w:r>
    </w:p>
    <w:p w14:paraId="0774064C">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本合同的组成文件</w:t>
      </w:r>
    </w:p>
    <w:p w14:paraId="664DD10E">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本合同所附下列项目文件是构成本合同不可分割的部分：</w:t>
      </w:r>
    </w:p>
    <w:p w14:paraId="64FF411D">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）保密承诺函；</w:t>
      </w:r>
    </w:p>
    <w:p w14:paraId="42D9A585">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商用密码检测机构资质证书；</w:t>
      </w:r>
    </w:p>
    <w:p w14:paraId="2074B802">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（三）供应商信用承诺函；</w:t>
      </w:r>
    </w:p>
    <w:p w14:paraId="5B29C12C">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甲乙双方商定的其他必要文件。</w:t>
      </w:r>
    </w:p>
    <w:p w14:paraId="2B100958">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上述合同文件内容互为补充，如有不明确，由甲方负责解释。</w:t>
      </w:r>
    </w:p>
    <w:p w14:paraId="72F24397">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w:t>
      </w:r>
      <w:r>
        <w:rPr>
          <w:rFonts w:hint="eastAsia" w:ascii="黑体" w:hAnsi="黑体" w:eastAsia="黑体" w:cs="黑体"/>
          <w:color w:val="auto"/>
          <w:sz w:val="32"/>
          <w:szCs w:val="32"/>
          <w:highlight w:val="none"/>
        </w:rPr>
        <w:t>其他</w:t>
      </w:r>
    </w:p>
    <w:p w14:paraId="5317F94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本合同自双方法定代表人或授权代表人签字并盖章之日起生效。如由授权代</w:t>
      </w:r>
      <w:r>
        <w:rPr>
          <w:rFonts w:hint="eastAsia" w:ascii="仿宋_GB2312" w:hAnsi="仿宋_GB2312" w:eastAsia="仿宋_GB2312" w:cs="仿宋_GB2312"/>
          <w:color w:val="auto"/>
          <w:sz w:val="32"/>
          <w:szCs w:val="32"/>
          <w:highlight w:val="none"/>
          <w:lang w:val="en-US" w:eastAsia="zh-CN"/>
        </w:rPr>
        <w:t>表</w:t>
      </w:r>
      <w:r>
        <w:rPr>
          <w:rFonts w:hint="eastAsia" w:ascii="仿宋_GB2312" w:hAnsi="仿宋_GB2312" w:eastAsia="仿宋_GB2312" w:cs="仿宋_GB2312"/>
          <w:color w:val="auto"/>
          <w:sz w:val="32"/>
          <w:szCs w:val="32"/>
          <w:highlight w:val="none"/>
        </w:rPr>
        <w:t>人签订本合同，需提供法人授权委托书及法定代表人、授权代</w:t>
      </w:r>
      <w:r>
        <w:rPr>
          <w:rFonts w:hint="eastAsia" w:ascii="仿宋_GB2312" w:hAnsi="仿宋_GB2312" w:eastAsia="仿宋_GB2312" w:cs="仿宋_GB2312"/>
          <w:color w:val="auto"/>
          <w:sz w:val="32"/>
          <w:szCs w:val="32"/>
          <w:highlight w:val="none"/>
          <w:lang w:val="en-US" w:eastAsia="zh-CN"/>
        </w:rPr>
        <w:t>表</w:t>
      </w:r>
      <w:r>
        <w:rPr>
          <w:rFonts w:hint="eastAsia" w:ascii="仿宋_GB2312" w:hAnsi="仿宋_GB2312" w:eastAsia="仿宋_GB2312" w:cs="仿宋_GB2312"/>
          <w:color w:val="auto"/>
          <w:sz w:val="32"/>
          <w:szCs w:val="32"/>
          <w:highlight w:val="none"/>
        </w:rPr>
        <w:t>人身份证明材料和身份证复印件，以上材料均需加盖法人及法定代表人印章</w:t>
      </w:r>
      <w:r>
        <w:rPr>
          <w:rFonts w:hint="eastAsia" w:ascii="仿宋_GB2312" w:hAnsi="仿宋_GB2312" w:eastAsia="仿宋_GB2312" w:cs="仿宋_GB2312"/>
          <w:color w:val="auto"/>
          <w:sz w:val="32"/>
          <w:szCs w:val="32"/>
          <w:highlight w:val="none"/>
          <w:lang w:eastAsia="zh-CN"/>
        </w:rPr>
        <w:t>。</w:t>
      </w:r>
    </w:p>
    <w:p w14:paraId="0863E1C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本合同一式陆份，由甲方执肆份，乙方执贰份，具有同等法律效力。</w:t>
      </w:r>
    </w:p>
    <w:p w14:paraId="5D3E2DCF">
      <w:pPr>
        <w:spacing w:line="560" w:lineRule="exact"/>
        <w:ind w:firstLine="640" w:firstLineChars="200"/>
        <w:rPr>
          <w:rFonts w:hint="eastAsia" w:ascii="仿宋_GB2312" w:hAnsi="仿宋_GB2312" w:eastAsia="仿宋_GB2312" w:cs="仿宋_GB2312"/>
          <w:color w:val="auto"/>
          <w:sz w:val="32"/>
          <w:szCs w:val="32"/>
          <w:highlight w:val="none"/>
        </w:rPr>
      </w:pPr>
    </w:p>
    <w:p w14:paraId="360F6822">
      <w:pPr>
        <w:spacing w:line="560" w:lineRule="exact"/>
        <w:ind w:firstLine="640" w:firstLineChars="200"/>
        <w:rPr>
          <w:rFonts w:hint="eastAsia" w:ascii="仿宋_GB2312" w:hAnsi="仿宋_GB2312" w:eastAsia="仿宋_GB2312" w:cs="仿宋_GB2312"/>
          <w:color w:val="auto"/>
          <w:sz w:val="32"/>
          <w:szCs w:val="32"/>
          <w:highlight w:val="none"/>
        </w:rPr>
      </w:pPr>
    </w:p>
    <w:p w14:paraId="3C9A4878">
      <w:pPr>
        <w:spacing w:line="560" w:lineRule="exact"/>
        <w:ind w:firstLine="640" w:firstLineChars="200"/>
        <w:rPr>
          <w:rFonts w:hint="eastAsia" w:ascii="仿宋_GB2312" w:hAnsi="仿宋_GB2312" w:eastAsia="仿宋_GB2312" w:cs="仿宋_GB2312"/>
          <w:color w:val="auto"/>
          <w:sz w:val="32"/>
          <w:szCs w:val="32"/>
          <w:highlight w:val="none"/>
        </w:rPr>
      </w:pPr>
    </w:p>
    <w:p w14:paraId="1DEBF99D">
      <w:pPr>
        <w:spacing w:line="560" w:lineRule="exact"/>
        <w:ind w:firstLine="640" w:firstLineChars="200"/>
        <w:rPr>
          <w:rFonts w:hint="eastAsia" w:ascii="仿宋_GB2312" w:hAnsi="仿宋_GB2312" w:eastAsia="仿宋_GB2312" w:cs="仿宋_GB2312"/>
          <w:color w:val="auto"/>
          <w:sz w:val="32"/>
          <w:szCs w:val="32"/>
          <w:highlight w:val="none"/>
        </w:rPr>
      </w:pPr>
    </w:p>
    <w:p w14:paraId="1D4C104A">
      <w:pPr>
        <w:spacing w:line="560" w:lineRule="exact"/>
        <w:ind w:firstLine="640" w:firstLineChars="200"/>
        <w:rPr>
          <w:rFonts w:hint="eastAsia" w:ascii="仿宋_GB2312" w:hAnsi="仿宋_GB2312" w:eastAsia="仿宋_GB2312" w:cs="仿宋_GB2312"/>
          <w:color w:val="auto"/>
          <w:sz w:val="32"/>
          <w:szCs w:val="32"/>
          <w:highlight w:val="none"/>
        </w:rPr>
      </w:pPr>
    </w:p>
    <w:p w14:paraId="7E814703">
      <w:pPr>
        <w:spacing w:line="560" w:lineRule="exact"/>
        <w:ind w:firstLine="640" w:firstLineChars="200"/>
        <w:rPr>
          <w:rFonts w:hint="eastAsia" w:ascii="仿宋_GB2312" w:hAnsi="仿宋_GB2312" w:eastAsia="仿宋_GB2312" w:cs="仿宋_GB2312"/>
          <w:color w:val="auto"/>
          <w:sz w:val="32"/>
          <w:szCs w:val="32"/>
          <w:highlight w:val="none"/>
        </w:rPr>
      </w:pPr>
    </w:p>
    <w:p w14:paraId="76AA824E">
      <w:pPr>
        <w:spacing w:line="560" w:lineRule="exact"/>
        <w:ind w:firstLine="640" w:firstLineChars="200"/>
        <w:rPr>
          <w:rFonts w:hint="eastAsia" w:ascii="仿宋_GB2312" w:hAnsi="仿宋_GB2312" w:eastAsia="仿宋_GB2312" w:cs="仿宋_GB2312"/>
          <w:color w:val="auto"/>
          <w:sz w:val="32"/>
          <w:szCs w:val="32"/>
          <w:highlight w:val="none"/>
        </w:rPr>
      </w:pPr>
    </w:p>
    <w:p w14:paraId="53C2B391">
      <w:pPr>
        <w:spacing w:line="560" w:lineRule="exact"/>
        <w:ind w:firstLine="640" w:firstLineChars="200"/>
        <w:rPr>
          <w:rFonts w:hint="eastAsia" w:ascii="仿宋_GB2312" w:hAnsi="仿宋_GB2312" w:eastAsia="仿宋_GB2312" w:cs="仿宋_GB2312"/>
          <w:color w:val="auto"/>
          <w:sz w:val="32"/>
          <w:szCs w:val="32"/>
          <w:highlight w:val="none"/>
        </w:rPr>
      </w:pPr>
    </w:p>
    <w:p w14:paraId="321953E0">
      <w:pPr>
        <w:spacing w:line="560" w:lineRule="exact"/>
        <w:ind w:firstLine="640" w:firstLineChars="200"/>
        <w:rPr>
          <w:rFonts w:hint="eastAsia" w:ascii="仿宋_GB2312" w:hAnsi="仿宋_GB2312" w:eastAsia="仿宋_GB2312" w:cs="仿宋_GB2312"/>
          <w:color w:val="auto"/>
          <w:sz w:val="32"/>
          <w:szCs w:val="32"/>
          <w:highlight w:val="none"/>
        </w:rPr>
      </w:pPr>
    </w:p>
    <w:p w14:paraId="25DFBD6B">
      <w:pPr>
        <w:spacing w:line="560" w:lineRule="exact"/>
        <w:ind w:firstLine="640" w:firstLineChars="200"/>
        <w:rPr>
          <w:rFonts w:hint="eastAsia" w:ascii="仿宋_GB2312" w:hAnsi="仿宋_GB2312" w:eastAsia="仿宋_GB2312" w:cs="仿宋_GB2312"/>
          <w:color w:val="auto"/>
          <w:sz w:val="32"/>
          <w:szCs w:val="32"/>
          <w:highlight w:val="none"/>
        </w:rPr>
      </w:pPr>
    </w:p>
    <w:p w14:paraId="185F3D5C">
      <w:pPr>
        <w:pStyle w:val="8"/>
        <w:keepNext w:val="0"/>
        <w:keepLines w:val="0"/>
        <w:pageBreakBefore w:val="0"/>
        <w:wordWrap/>
        <w:topLinePunct w:val="0"/>
        <w:bidi w:val="0"/>
        <w:spacing w:line="560" w:lineRule="exact"/>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rPr>
        <w:t>以下无正文，为签署页</w:t>
      </w:r>
      <w:r>
        <w:rPr>
          <w:rFonts w:hint="eastAsia" w:ascii="仿宋_GB2312" w:hAnsi="仿宋_GB2312" w:eastAsia="仿宋_GB2312" w:cs="仿宋_GB2312"/>
          <w:color w:val="auto"/>
          <w:spacing w:val="-5"/>
          <w:sz w:val="32"/>
          <w:szCs w:val="32"/>
          <w:highlight w:val="none"/>
        </w:rPr>
        <w:t>）</w:t>
      </w:r>
    </w:p>
    <w:p w14:paraId="7149B71A">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p>
    <w:p w14:paraId="51AE1626">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p>
    <w:p w14:paraId="6E048389">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p>
    <w:p w14:paraId="4D81E956">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p>
    <w:p w14:paraId="5D431640">
      <w:pPr>
        <w:pStyle w:val="8"/>
        <w:keepNext w:val="0"/>
        <w:keepLines w:val="0"/>
        <w:pageBreakBefore w:val="0"/>
        <w:wordWrap/>
        <w:topLinePunct w:val="0"/>
        <w:bidi w:val="0"/>
        <w:spacing w:line="560" w:lineRule="exact"/>
        <w:ind w:firstLine="620" w:firstLineChars="200"/>
        <w:jc w:val="both"/>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rPr>
        <w:t>甲方：</w:t>
      </w:r>
      <w:r>
        <w:rPr>
          <w:rFonts w:hint="eastAsia" w:ascii="仿宋_GB2312" w:hAnsi="仿宋_GB2312" w:eastAsia="仿宋_GB2312" w:cs="仿宋_GB2312"/>
          <w:color w:val="auto"/>
          <w:spacing w:val="-5"/>
          <w:sz w:val="32"/>
          <w:szCs w:val="32"/>
          <w:highlight w:val="none"/>
          <w:lang w:val="en-US" w:eastAsia="zh-CN"/>
        </w:rPr>
        <w:t xml:space="preserve"> </w:t>
      </w:r>
    </w:p>
    <w:p w14:paraId="3C068326">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法定代表</w:t>
      </w:r>
      <w:r>
        <w:rPr>
          <w:rFonts w:hint="eastAsia" w:ascii="仿宋_GB2312" w:hAnsi="仿宋_GB2312" w:eastAsia="仿宋_GB2312" w:cs="仿宋_GB2312"/>
          <w:color w:val="auto"/>
          <w:spacing w:val="-5"/>
          <w:sz w:val="32"/>
          <w:szCs w:val="32"/>
          <w:highlight w:val="none"/>
          <w:lang w:val="en-US"/>
        </w:rPr>
        <w:t>人或</w:t>
      </w:r>
      <w:r>
        <w:rPr>
          <w:rFonts w:hint="eastAsia" w:ascii="仿宋_GB2312" w:hAnsi="仿宋_GB2312" w:eastAsia="仿宋_GB2312" w:cs="仿宋_GB2312"/>
          <w:color w:val="auto"/>
          <w:spacing w:val="-5"/>
          <w:sz w:val="32"/>
          <w:szCs w:val="32"/>
          <w:highlight w:val="none"/>
        </w:rPr>
        <w:t>授权委托人：</w:t>
      </w:r>
    </w:p>
    <w:p w14:paraId="603C495C">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lang w:val="en-US"/>
        </w:rPr>
      </w:pPr>
      <w:r>
        <w:rPr>
          <w:rFonts w:hint="eastAsia" w:ascii="仿宋_GB2312" w:hAnsi="仿宋_GB2312" w:eastAsia="仿宋_GB2312" w:cs="仿宋_GB2312"/>
          <w:color w:val="auto"/>
          <w:spacing w:val="-5"/>
          <w:sz w:val="32"/>
          <w:szCs w:val="32"/>
          <w:highlight w:val="none"/>
          <w:lang w:val="en-US"/>
        </w:rPr>
        <w:t>经办人：</w:t>
      </w:r>
    </w:p>
    <w:p w14:paraId="39270E2D">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签署</w:t>
      </w:r>
      <w:r>
        <w:rPr>
          <w:rFonts w:hint="eastAsia" w:ascii="仿宋_GB2312" w:hAnsi="仿宋_GB2312" w:eastAsia="仿宋_GB2312" w:cs="仿宋_GB2312"/>
          <w:color w:val="auto"/>
          <w:spacing w:val="-5"/>
          <w:sz w:val="32"/>
          <w:szCs w:val="32"/>
          <w:highlight w:val="none"/>
          <w:lang w:val="en-US"/>
        </w:rPr>
        <w:t>日期</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年</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月</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日</w:t>
      </w:r>
    </w:p>
    <w:p w14:paraId="28132703">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p>
    <w:p w14:paraId="1B6CA10F">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乙方：</w:t>
      </w:r>
    </w:p>
    <w:p w14:paraId="683EC56B">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法定代表</w:t>
      </w:r>
      <w:r>
        <w:rPr>
          <w:rFonts w:hint="eastAsia" w:ascii="仿宋_GB2312" w:hAnsi="仿宋_GB2312" w:eastAsia="仿宋_GB2312" w:cs="仿宋_GB2312"/>
          <w:color w:val="auto"/>
          <w:spacing w:val="-5"/>
          <w:sz w:val="32"/>
          <w:szCs w:val="32"/>
          <w:highlight w:val="none"/>
          <w:lang w:val="en-US"/>
        </w:rPr>
        <w:t>人或</w:t>
      </w:r>
      <w:r>
        <w:rPr>
          <w:rFonts w:hint="eastAsia" w:ascii="仿宋_GB2312" w:hAnsi="仿宋_GB2312" w:eastAsia="仿宋_GB2312" w:cs="仿宋_GB2312"/>
          <w:color w:val="auto"/>
          <w:spacing w:val="-5"/>
          <w:sz w:val="32"/>
          <w:szCs w:val="32"/>
          <w:highlight w:val="none"/>
        </w:rPr>
        <w:t>授权委托人：</w:t>
      </w:r>
    </w:p>
    <w:p w14:paraId="59DCBB49">
      <w:pPr>
        <w:pStyle w:val="8"/>
        <w:keepNext w:val="0"/>
        <w:keepLines w:val="0"/>
        <w:pageBreakBefore w:val="0"/>
        <w:wordWrap/>
        <w:topLinePunct w:val="0"/>
        <w:bidi w:val="0"/>
        <w:spacing w:line="560" w:lineRule="exact"/>
        <w:ind w:firstLine="620" w:firstLineChars="200"/>
        <w:jc w:val="both"/>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lang w:val="en-US"/>
        </w:rPr>
        <w:t>经办人：</w:t>
      </w:r>
    </w:p>
    <w:p w14:paraId="5D716B61">
      <w:pPr>
        <w:pStyle w:val="8"/>
        <w:keepNext w:val="0"/>
        <w:keepLines w:val="0"/>
        <w:pageBreakBefore w:val="0"/>
        <w:wordWrap/>
        <w:topLinePunct w:val="0"/>
        <w:bidi w:val="0"/>
        <w:spacing w:line="560" w:lineRule="exact"/>
        <w:ind w:firstLine="620" w:firstLineChars="200"/>
        <w:jc w:val="both"/>
        <w:rPr>
          <w:rFonts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5"/>
          <w:sz w:val="32"/>
          <w:szCs w:val="32"/>
          <w:highlight w:val="none"/>
        </w:rPr>
        <w:t>签署</w:t>
      </w:r>
      <w:r>
        <w:rPr>
          <w:rFonts w:hint="eastAsia" w:ascii="仿宋_GB2312" w:hAnsi="仿宋_GB2312" w:eastAsia="仿宋_GB2312" w:cs="仿宋_GB2312"/>
          <w:color w:val="auto"/>
          <w:spacing w:val="-5"/>
          <w:sz w:val="32"/>
          <w:szCs w:val="32"/>
          <w:highlight w:val="none"/>
          <w:lang w:val="en-US"/>
        </w:rPr>
        <w:t>日期</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年</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月</w:t>
      </w:r>
      <w:r>
        <w:rPr>
          <w:rFonts w:hint="eastAsia" w:ascii="仿宋_GB2312" w:hAnsi="仿宋_GB2312" w:eastAsia="仿宋_GB2312" w:cs="仿宋_GB2312"/>
          <w:color w:val="auto"/>
          <w:spacing w:val="-5"/>
          <w:sz w:val="32"/>
          <w:szCs w:val="32"/>
          <w:highlight w:val="none"/>
          <w:lang w:val="en-US"/>
        </w:rPr>
        <w:t xml:space="preserve">  </w:t>
      </w:r>
      <w:r>
        <w:rPr>
          <w:rFonts w:hint="eastAsia" w:ascii="仿宋_GB2312" w:hAnsi="仿宋_GB2312" w:eastAsia="仿宋_GB2312" w:cs="仿宋_GB2312"/>
          <w:color w:val="auto"/>
          <w:spacing w:val="-5"/>
          <w:sz w:val="32"/>
          <w:szCs w:val="32"/>
          <w:highlight w:val="none"/>
        </w:rPr>
        <w:t>日</w:t>
      </w:r>
    </w:p>
    <w:p w14:paraId="3EB16C71">
      <w:pPr>
        <w:pStyle w:val="12"/>
        <w:keepNext w:val="0"/>
        <w:keepLines w:val="0"/>
        <w:pageBreakBefore w:val="0"/>
        <w:wordWrap/>
        <w:topLinePunct w:val="0"/>
        <w:bidi w:val="0"/>
        <w:spacing w:line="560" w:lineRule="exact"/>
        <w:ind w:left="680" w:firstLine="680"/>
        <w:rPr>
          <w:color w:val="auto"/>
          <w:highlight w:val="none"/>
        </w:rPr>
      </w:pPr>
    </w:p>
    <w:p w14:paraId="41FEC5EC">
      <w:pPr>
        <w:pStyle w:val="12"/>
        <w:keepNext w:val="0"/>
        <w:keepLines w:val="0"/>
        <w:pageBreakBefore w:val="0"/>
        <w:wordWrap/>
        <w:topLinePunct w:val="0"/>
        <w:bidi w:val="0"/>
        <w:spacing w:line="560" w:lineRule="exact"/>
        <w:ind w:left="680" w:firstLine="680"/>
        <w:rPr>
          <w:color w:val="auto"/>
          <w:highlight w:val="none"/>
        </w:rPr>
      </w:pPr>
    </w:p>
    <w:p w14:paraId="26B9621B">
      <w:pPr>
        <w:pStyle w:val="12"/>
        <w:keepNext w:val="0"/>
        <w:keepLines w:val="0"/>
        <w:pageBreakBefore w:val="0"/>
        <w:wordWrap/>
        <w:topLinePunct w:val="0"/>
        <w:bidi w:val="0"/>
        <w:spacing w:line="560" w:lineRule="exact"/>
        <w:ind w:left="0" w:leftChars="0" w:firstLine="0" w:firstLineChars="0"/>
        <w:jc w:val="left"/>
        <w:rPr>
          <w:color w:val="auto"/>
          <w:sz w:val="24"/>
          <w:szCs w:val="24"/>
          <w:highlight w:val="none"/>
        </w:rPr>
      </w:pPr>
    </w:p>
    <w:p w14:paraId="38D616EC">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br w:type="page"/>
      </w:r>
    </w:p>
    <w:p w14:paraId="2D2DC524">
      <w:pPr>
        <w:pStyle w:val="2"/>
        <w:spacing w:beforeLines="-2147483648" w:beforeAutospacing="0" w:afterLines="-2147483648" w:afterAutospacing="0" w:line="360" w:lineRule="auto"/>
        <w:jc w:val="both"/>
        <w:rPr>
          <w:rFonts w:hint="eastAsia" w:ascii="黑体" w:hAnsi="黑体" w:eastAsia="黑体" w:cs="黑体"/>
          <w:b w:val="0"/>
          <w:bCs/>
          <w:color w:val="auto"/>
          <w:sz w:val="32"/>
          <w:szCs w:val="30"/>
          <w:highlight w:val="none"/>
        </w:rPr>
      </w:pPr>
      <w:r>
        <w:rPr>
          <w:rFonts w:hint="eastAsia" w:ascii="黑体" w:hAnsi="黑体" w:eastAsia="黑体" w:cs="黑体"/>
          <w:b w:val="0"/>
          <w:bCs/>
          <w:color w:val="auto"/>
          <w:sz w:val="32"/>
          <w:szCs w:val="30"/>
          <w:highlight w:val="none"/>
        </w:rPr>
        <w:t>附件</w:t>
      </w:r>
      <w:r>
        <w:rPr>
          <w:rFonts w:hint="eastAsia" w:ascii="黑体" w:hAnsi="黑体" w:eastAsia="黑体" w:cs="黑体"/>
          <w:b w:val="0"/>
          <w:bCs/>
          <w:color w:val="auto"/>
          <w:sz w:val="32"/>
          <w:szCs w:val="30"/>
          <w:highlight w:val="none"/>
          <w:lang w:val="en-US" w:eastAsia="zh-CN"/>
        </w:rPr>
        <w:t>1</w:t>
      </w:r>
      <w:r>
        <w:rPr>
          <w:rFonts w:hint="eastAsia" w:ascii="黑体" w:hAnsi="黑体" w:eastAsia="黑体" w:cs="黑体"/>
          <w:b w:val="0"/>
          <w:bCs/>
          <w:color w:val="auto"/>
          <w:sz w:val="32"/>
          <w:szCs w:val="30"/>
          <w:highlight w:val="none"/>
        </w:rPr>
        <w:t>：保密承诺函</w:t>
      </w:r>
    </w:p>
    <w:p w14:paraId="5BCD956D">
      <w:pPr>
        <w:spacing w:beforeLines="-2147483648" w:beforeAutospacing="0" w:afterLines="-2147483648" w:afterAutospacing="0" w:line="360" w:lineRule="auto"/>
        <w:jc w:val="center"/>
        <w:outlineLvl w:val="9"/>
        <w:rPr>
          <w:rFonts w:hint="eastAsia" w:ascii="黑体" w:hAnsi="黑体" w:eastAsia="黑体" w:cs="黑体"/>
          <w:b w:val="0"/>
          <w:bCs/>
          <w:color w:val="auto"/>
          <w:sz w:val="32"/>
          <w:szCs w:val="30"/>
          <w:highlight w:val="none"/>
        </w:rPr>
      </w:pPr>
      <w:r>
        <w:rPr>
          <w:rFonts w:hint="eastAsia" w:ascii="黑体" w:hAnsi="黑体" w:eastAsia="黑体" w:cs="黑体"/>
          <w:b w:val="0"/>
          <w:bCs/>
          <w:color w:val="auto"/>
          <w:sz w:val="32"/>
          <w:szCs w:val="30"/>
          <w:highlight w:val="none"/>
        </w:rPr>
        <w:t>保密承诺函</w:t>
      </w:r>
    </w:p>
    <w:p w14:paraId="266DDF36">
      <w:pPr>
        <w:pageBreakBefore w:val="0"/>
        <w:widowControl/>
        <w:wordWrap/>
        <w:topLinePunct w:val="0"/>
        <w:bidi w:val="0"/>
        <w:adjustRightInd w:val="0"/>
        <w:snapToGrid w:val="0"/>
        <w:spacing w:beforeLines="0" w:afterLines="0" w:line="560" w:lineRule="exact"/>
        <w:ind w:firstLine="0" w:firstLineChars="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致：</w:t>
      </w:r>
      <w:r>
        <w:rPr>
          <w:rFonts w:hint="eastAsia" w:ascii="仿宋_GB2312" w:hAnsi="仿宋_GB2312" w:eastAsia="仿宋_GB2312" w:cs="仿宋_GB2312"/>
          <w:kern w:val="2"/>
          <w:sz w:val="28"/>
          <w:szCs w:val="28"/>
          <w:highlight w:val="none"/>
          <w:u w:val="single"/>
          <w:lang w:val="en-US" w:eastAsia="zh-CN" w:bidi="ar"/>
          <w14:ligatures w14:val="none"/>
        </w:rPr>
        <w:t xml:space="preserve">              </w:t>
      </w:r>
    </w:p>
    <w:p w14:paraId="15915F2A">
      <w:pPr>
        <w:pageBreakBefore w:val="0"/>
        <w:widowControl/>
        <w:wordWrap/>
        <w:topLinePunct w:val="0"/>
        <w:bidi w:val="0"/>
        <w:adjustRightInd w:val="0"/>
        <w:snapToGrid w:val="0"/>
        <w:spacing w:beforeLines="0" w:afterLines="0" w:line="560" w:lineRule="exact"/>
        <w:ind w:left="279" w:leftChars="133" w:firstLine="280" w:firstLineChars="10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我司受</w:t>
      </w:r>
      <w:r>
        <w:rPr>
          <w:rFonts w:hint="eastAsia" w:ascii="仿宋_GB2312" w:hAnsi="仿宋_GB2312" w:eastAsia="仿宋_GB2312" w:cs="仿宋_GB2312"/>
          <w:kern w:val="2"/>
          <w:sz w:val="28"/>
          <w:szCs w:val="28"/>
          <w:highlight w:val="none"/>
          <w:u w:val="single"/>
          <w:lang w:val="en-US" w:eastAsia="zh-CN" w:bidi="ar"/>
          <w14:ligatures w14:val="none"/>
        </w:rPr>
        <w:t xml:space="preserve">               </w:t>
      </w:r>
      <w:r>
        <w:rPr>
          <w:rFonts w:hint="eastAsia" w:ascii="仿宋_GB2312" w:hAnsi="仿宋_GB2312" w:eastAsia="仿宋_GB2312" w:cs="仿宋_GB2312"/>
          <w:kern w:val="2"/>
          <w:sz w:val="28"/>
          <w:szCs w:val="28"/>
          <w:highlight w:val="none"/>
          <w:lang w:val="en-US" w:eastAsia="zh-CN" w:bidi="ar"/>
          <w14:ligatures w14:val="none"/>
        </w:rPr>
        <w:t>（以下简称“委托人”）委托，负责</w:t>
      </w:r>
      <w:r>
        <w:rPr>
          <w:rFonts w:hint="eastAsia" w:ascii="仿宋" w:hAnsi="仿宋" w:eastAsia="仿宋" w:cs="仿宋"/>
          <w:b/>
          <w:bCs/>
          <w:color w:val="auto"/>
          <w:sz w:val="28"/>
          <w:szCs w:val="28"/>
          <w:u w:val="single"/>
          <w:lang w:val="en-US" w:eastAsia="zh-CN"/>
        </w:rPr>
        <w:t xml:space="preserve">         </w:t>
      </w:r>
      <w:r>
        <w:rPr>
          <w:rFonts w:hint="eastAsia" w:ascii="仿宋_GB2312" w:hAnsi="仿宋_GB2312" w:eastAsia="仿宋_GB2312" w:cs="仿宋_GB2312"/>
          <w:kern w:val="2"/>
          <w:sz w:val="28"/>
          <w:szCs w:val="28"/>
          <w:highlight w:val="none"/>
          <w:lang w:val="en-US" w:eastAsia="zh-CN" w:bidi="ar"/>
          <w14:ligatures w14:val="none"/>
        </w:rPr>
        <w:t>工作，我司在此承诺：</w:t>
      </w:r>
    </w:p>
    <w:p w14:paraId="457DB803">
      <w:pPr>
        <w:pageBreakBefore w:val="0"/>
        <w:widowControl/>
        <w:wordWrap/>
        <w:topLinePunct w:val="0"/>
        <w:bidi w:val="0"/>
        <w:adjustRightInd w:val="0"/>
        <w:snapToGrid w:val="0"/>
        <w:spacing w:beforeLines="0" w:afterLines="0" w:line="560" w:lineRule="exact"/>
        <w:ind w:firstLine="560" w:firstLineChars="20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0D0B5038">
      <w:pPr>
        <w:pageBreakBefore w:val="0"/>
        <w:widowControl/>
        <w:wordWrap/>
        <w:topLinePunct w:val="0"/>
        <w:bidi w:val="0"/>
        <w:adjustRightInd w:val="0"/>
        <w:snapToGrid w:val="0"/>
        <w:spacing w:beforeLines="0" w:afterLines="0" w:line="560" w:lineRule="exact"/>
        <w:ind w:firstLine="560" w:firstLineChars="20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2、我司承担保密义务直至本条款中所称的保密信息进入公示领域或委托人将这些保密信息公开为止，不因本合同终止或履行完毕而终止。</w:t>
      </w:r>
    </w:p>
    <w:p w14:paraId="68DA01CF">
      <w:pPr>
        <w:pageBreakBefore w:val="0"/>
        <w:widowControl/>
        <w:wordWrap/>
        <w:topLinePunct w:val="0"/>
        <w:bidi w:val="0"/>
        <w:adjustRightInd w:val="0"/>
        <w:snapToGrid w:val="0"/>
        <w:spacing w:beforeLines="0" w:afterLines="0" w:line="560" w:lineRule="exact"/>
        <w:ind w:firstLine="560" w:firstLineChars="20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45EA025D">
      <w:pPr>
        <w:pageBreakBefore w:val="0"/>
        <w:widowControl/>
        <w:wordWrap/>
        <w:topLinePunct w:val="0"/>
        <w:bidi w:val="0"/>
        <w:adjustRightInd w:val="0"/>
        <w:snapToGrid w:val="0"/>
        <w:spacing w:beforeLines="0" w:afterLines="0" w:line="560" w:lineRule="exact"/>
        <w:ind w:firstLine="560" w:firstLineChars="20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                          </w:t>
      </w:r>
    </w:p>
    <w:p w14:paraId="3EA29226">
      <w:pPr>
        <w:pageBreakBefore w:val="0"/>
        <w:widowControl/>
        <w:wordWrap/>
        <w:topLinePunct w:val="0"/>
        <w:bidi w:val="0"/>
        <w:adjustRightInd w:val="0"/>
        <w:snapToGrid w:val="0"/>
        <w:spacing w:beforeLines="0" w:afterLines="0" w:line="560" w:lineRule="exact"/>
        <w:ind w:left="3780" w:leftChars="0" w:firstLine="420" w:firstLineChars="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承诺人名称（盖章）：                                                      </w:t>
      </w:r>
    </w:p>
    <w:p w14:paraId="2C8C7826">
      <w:pPr>
        <w:pageBreakBefore w:val="0"/>
        <w:widowControl/>
        <w:wordWrap/>
        <w:topLinePunct w:val="0"/>
        <w:bidi w:val="0"/>
        <w:adjustRightInd w:val="0"/>
        <w:snapToGrid w:val="0"/>
        <w:spacing w:beforeLines="0" w:afterLines="0" w:line="560" w:lineRule="exact"/>
        <w:jc w:val="both"/>
        <w:rPr>
          <w:rFonts w:hint="default"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ab/>
      </w:r>
      <w:r>
        <w:rPr>
          <w:rFonts w:hint="eastAsia" w:ascii="仿宋_GB2312" w:hAnsi="仿宋_GB2312" w:eastAsia="仿宋_GB2312" w:cs="仿宋_GB2312"/>
          <w:kern w:val="2"/>
          <w:sz w:val="28"/>
          <w:szCs w:val="28"/>
          <w:highlight w:val="none"/>
          <w:lang w:val="en-US" w:eastAsia="zh-CN" w:bidi="ar"/>
          <w14:ligatures w14:val="none"/>
        </w:rPr>
        <w:t xml:space="preserve">   日    期：     年  月  日</w:t>
      </w:r>
    </w:p>
    <w:p w14:paraId="540887ED">
      <w:pPr>
        <w:pageBreakBefore w:val="0"/>
        <w:wordWrap/>
        <w:topLinePunct w:val="0"/>
        <w:bidi w:val="0"/>
        <w:spacing w:before="0" w:beforeLines="0" w:after="0" w:afterLines="0" w:line="560" w:lineRule="exact"/>
        <w:ind w:firstLine="0" w:firstLineChars="0"/>
        <w:jc w:val="left"/>
        <w:rPr>
          <w:rFonts w:hint="eastAsia" w:ascii="仿宋_GB2312" w:hAnsi="仿宋_GB2312" w:eastAsia="仿宋_GB2312" w:cs="仿宋_GB2312"/>
          <w:b/>
          <w:bCs/>
          <w:sz w:val="36"/>
          <w:szCs w:val="36"/>
          <w:highlight w:val="none"/>
          <w:lang w:val="en-US" w:eastAsia="zh-CN"/>
        </w:rPr>
      </w:pPr>
      <w:bookmarkStart w:id="3" w:name="_Toc484875157"/>
      <w:r>
        <w:rPr>
          <w:rFonts w:hint="eastAsia" w:ascii="仿宋_GB2312" w:hAnsi="仿宋_GB2312" w:eastAsia="仿宋_GB2312" w:cs="仿宋_GB2312"/>
          <w:b/>
          <w:bCs/>
          <w:sz w:val="36"/>
          <w:szCs w:val="36"/>
          <w:highlight w:val="none"/>
          <w:lang w:val="en-US" w:eastAsia="zh-CN"/>
        </w:rPr>
        <w:br w:type="page"/>
      </w:r>
    </w:p>
    <w:bookmarkEnd w:id="3"/>
    <w:p w14:paraId="364D38BB">
      <w:pPr>
        <w:pStyle w:val="2"/>
        <w:spacing w:beforeLines="-2147483648" w:beforeAutospacing="0" w:afterLines="-2147483648" w:afterAutospacing="0" w:line="360" w:lineRule="auto"/>
        <w:jc w:val="both"/>
        <w:rPr>
          <w:rFonts w:hint="eastAsia" w:ascii="黑体" w:hAnsi="黑体" w:eastAsia="黑体" w:cs="黑体"/>
          <w:b w:val="0"/>
          <w:bCs/>
          <w:color w:val="auto"/>
          <w:sz w:val="32"/>
          <w:szCs w:val="30"/>
          <w:highlight w:val="none"/>
        </w:rPr>
      </w:pPr>
      <w:r>
        <w:rPr>
          <w:rFonts w:hint="eastAsia" w:ascii="黑体" w:hAnsi="黑体" w:eastAsia="黑体" w:cs="黑体"/>
          <w:b w:val="0"/>
          <w:bCs/>
          <w:color w:val="auto"/>
          <w:sz w:val="32"/>
          <w:szCs w:val="30"/>
          <w:highlight w:val="none"/>
        </w:rPr>
        <w:t>附件</w:t>
      </w:r>
      <w:r>
        <w:rPr>
          <w:rFonts w:hint="eastAsia" w:ascii="黑体" w:hAnsi="黑体" w:eastAsia="黑体" w:cs="黑体"/>
          <w:b w:val="0"/>
          <w:bCs/>
          <w:color w:val="auto"/>
          <w:sz w:val="32"/>
          <w:szCs w:val="30"/>
          <w:highlight w:val="none"/>
          <w:lang w:val="en-US" w:eastAsia="zh-CN"/>
        </w:rPr>
        <w:t>2</w:t>
      </w:r>
      <w:r>
        <w:rPr>
          <w:rFonts w:hint="eastAsia" w:ascii="黑体" w:hAnsi="黑体" w:eastAsia="黑体" w:cs="黑体"/>
          <w:b w:val="0"/>
          <w:bCs/>
          <w:color w:val="auto"/>
          <w:sz w:val="32"/>
          <w:szCs w:val="30"/>
          <w:highlight w:val="none"/>
          <w:lang w:eastAsia="zh-CN"/>
        </w:rPr>
        <w:t>：商用密码检测机构资质证书</w:t>
      </w:r>
    </w:p>
    <w:p w14:paraId="5CF81DD8">
      <w:pPr>
        <w:rPr>
          <w:rFonts w:ascii="仿宋" w:hAnsi="仿宋" w:eastAsia="仿宋"/>
          <w:color w:val="auto"/>
          <w:highlight w:val="none"/>
        </w:rPr>
      </w:pPr>
    </w:p>
    <w:p w14:paraId="01218720">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1CA328FF">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630C3F0B">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5D0ABB91">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731C3397">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2F859D29">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389A2603">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322316E4">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26943A68">
      <w:pPr>
        <w:pageBreakBefore w:val="0"/>
        <w:wordWrap/>
        <w:topLinePunct w:val="0"/>
        <w:bidi w:val="0"/>
        <w:spacing w:beforeLines="0" w:afterLines="0" w:line="560" w:lineRule="exact"/>
        <w:ind w:firstLine="420" w:firstLineChars="200"/>
        <w:rPr>
          <w:rFonts w:ascii="仿宋" w:hAnsi="仿宋" w:eastAsia="仿宋"/>
          <w:color w:val="auto"/>
          <w:highlight w:val="none"/>
        </w:rPr>
      </w:pPr>
    </w:p>
    <w:p w14:paraId="6388AA74">
      <w:pPr>
        <w:pageBreakBefore w:val="0"/>
        <w:wordWrap/>
        <w:topLinePunct w:val="0"/>
        <w:bidi w:val="0"/>
        <w:spacing w:beforeLines="0" w:afterLines="0" w:line="560" w:lineRule="exact"/>
        <w:ind w:firstLine="420" w:firstLineChars="200"/>
        <w:rPr>
          <w:rFonts w:hint="eastAsia" w:ascii="仿宋" w:hAnsi="仿宋" w:eastAsia="仿宋"/>
          <w:color w:val="auto"/>
          <w:highlight w:val="none"/>
          <w:lang w:val="en-US" w:eastAsia="zh-CN"/>
        </w:rPr>
      </w:pPr>
    </w:p>
    <w:p w14:paraId="4649B3EA">
      <w:pPr>
        <w:pStyle w:val="17"/>
        <w:rPr>
          <w:rFonts w:hint="eastAsia" w:ascii="仿宋" w:hAnsi="仿宋" w:eastAsia="仿宋"/>
          <w:color w:val="auto"/>
          <w:highlight w:val="none"/>
          <w:lang w:val="en-US" w:eastAsia="zh-CN"/>
        </w:rPr>
      </w:pPr>
    </w:p>
    <w:p w14:paraId="0FF23BAA">
      <w:pPr>
        <w:pStyle w:val="17"/>
        <w:rPr>
          <w:rFonts w:hint="eastAsia" w:ascii="仿宋" w:hAnsi="仿宋" w:eastAsia="仿宋"/>
          <w:color w:val="auto"/>
          <w:highlight w:val="none"/>
          <w:lang w:val="en-US" w:eastAsia="zh-CN"/>
        </w:rPr>
      </w:pPr>
    </w:p>
    <w:p w14:paraId="259FAFDB">
      <w:pPr>
        <w:pStyle w:val="17"/>
        <w:rPr>
          <w:rFonts w:hint="eastAsia" w:ascii="仿宋" w:hAnsi="仿宋" w:eastAsia="仿宋"/>
          <w:color w:val="auto"/>
          <w:highlight w:val="none"/>
          <w:lang w:val="en-US" w:eastAsia="zh-CN"/>
        </w:rPr>
      </w:pPr>
    </w:p>
    <w:p w14:paraId="33CB331C">
      <w:pPr>
        <w:pStyle w:val="17"/>
        <w:rPr>
          <w:rFonts w:hint="eastAsia" w:ascii="仿宋" w:hAnsi="仿宋" w:eastAsia="仿宋"/>
          <w:color w:val="auto"/>
          <w:highlight w:val="none"/>
          <w:lang w:val="en-US" w:eastAsia="zh-CN"/>
        </w:rPr>
      </w:pPr>
    </w:p>
    <w:p w14:paraId="02E1190C">
      <w:pPr>
        <w:pStyle w:val="17"/>
        <w:rPr>
          <w:rFonts w:hint="eastAsia" w:ascii="仿宋" w:hAnsi="仿宋" w:eastAsia="仿宋"/>
          <w:color w:val="auto"/>
          <w:highlight w:val="none"/>
          <w:lang w:val="en-US" w:eastAsia="zh-CN"/>
        </w:rPr>
      </w:pPr>
    </w:p>
    <w:p w14:paraId="585C3020">
      <w:pPr>
        <w:pStyle w:val="17"/>
        <w:rPr>
          <w:rFonts w:hint="eastAsia" w:ascii="仿宋" w:hAnsi="仿宋" w:eastAsia="仿宋"/>
          <w:color w:val="auto"/>
          <w:highlight w:val="none"/>
          <w:lang w:val="en-US" w:eastAsia="zh-CN"/>
        </w:rPr>
      </w:pPr>
    </w:p>
    <w:p w14:paraId="1980CF72">
      <w:pPr>
        <w:pStyle w:val="17"/>
        <w:rPr>
          <w:rFonts w:hint="eastAsia" w:ascii="仿宋" w:hAnsi="仿宋" w:eastAsia="仿宋"/>
          <w:color w:val="auto"/>
          <w:highlight w:val="none"/>
          <w:lang w:val="en-US" w:eastAsia="zh-CN"/>
        </w:rPr>
      </w:pPr>
    </w:p>
    <w:p w14:paraId="7E8585DB">
      <w:pPr>
        <w:pStyle w:val="17"/>
        <w:rPr>
          <w:rFonts w:hint="eastAsia" w:ascii="仿宋" w:hAnsi="仿宋" w:eastAsia="仿宋"/>
          <w:color w:val="auto"/>
          <w:highlight w:val="none"/>
          <w:lang w:val="en-US" w:eastAsia="zh-CN"/>
        </w:rPr>
      </w:pPr>
    </w:p>
    <w:p w14:paraId="5675C169">
      <w:pPr>
        <w:pStyle w:val="17"/>
        <w:rPr>
          <w:rFonts w:hint="eastAsia" w:ascii="仿宋" w:hAnsi="仿宋" w:eastAsia="仿宋"/>
          <w:color w:val="auto"/>
          <w:highlight w:val="none"/>
          <w:lang w:val="en-US" w:eastAsia="zh-CN"/>
        </w:rPr>
      </w:pPr>
    </w:p>
    <w:p w14:paraId="2C961E24">
      <w:pPr>
        <w:pStyle w:val="2"/>
        <w:spacing w:beforeLines="-2147483648" w:afterLines="-2147483648" w:line="360" w:lineRule="auto"/>
        <w:jc w:val="both"/>
        <w:rPr>
          <w:rFonts w:hint="eastAsia" w:ascii="黑体" w:hAnsi="黑体" w:eastAsia="黑体" w:cs="黑体"/>
          <w:b w:val="0"/>
          <w:bCs/>
          <w:color w:val="auto"/>
          <w:sz w:val="32"/>
          <w:szCs w:val="30"/>
          <w:highlight w:val="none"/>
          <w:lang w:val="en-US" w:eastAsia="zh-CN"/>
        </w:rPr>
      </w:pPr>
      <w:r>
        <w:rPr>
          <w:rFonts w:hint="eastAsia" w:ascii="黑体" w:hAnsi="黑体" w:eastAsia="黑体" w:cs="黑体"/>
          <w:b w:val="0"/>
          <w:bCs/>
          <w:color w:val="auto"/>
          <w:sz w:val="32"/>
          <w:szCs w:val="30"/>
          <w:highlight w:val="none"/>
          <w:lang w:val="en-US" w:eastAsia="zh-CN"/>
        </w:rPr>
        <w:t>附件3：供应商信用承诺函</w:t>
      </w:r>
    </w:p>
    <w:p w14:paraId="7B22324E">
      <w:pPr>
        <w:jc w:val="center"/>
        <w:outlineLvl w:val="9"/>
        <w:rPr>
          <w:rFonts w:hint="eastAsia" w:ascii="黑体" w:hAnsi="黑体" w:eastAsia="黑体" w:cs="黑体"/>
          <w:b w:val="0"/>
          <w:bCs/>
          <w:color w:val="auto"/>
          <w:sz w:val="32"/>
          <w:szCs w:val="30"/>
          <w:highlight w:val="none"/>
          <w:lang w:val="en-US" w:eastAsia="zh-CN"/>
        </w:rPr>
      </w:pPr>
      <w:r>
        <w:rPr>
          <w:rFonts w:hint="eastAsia" w:ascii="黑体" w:hAnsi="黑体" w:eastAsia="黑体" w:cs="黑体"/>
          <w:b w:val="0"/>
          <w:bCs/>
          <w:color w:val="auto"/>
          <w:sz w:val="32"/>
          <w:szCs w:val="30"/>
          <w:highlight w:val="none"/>
          <w:lang w:val="en-US" w:eastAsia="zh-CN"/>
        </w:rPr>
        <w:t>供应商信用承诺函</w:t>
      </w:r>
    </w:p>
    <w:p w14:paraId="542665C1">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致：海口市产业发展投资集团有限公司​</w:t>
      </w:r>
    </w:p>
    <w:p w14:paraId="3C0438E7">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我司参与商用密码应用安全性评估服务采购项目竞价比选活动，现我司郑重承诺如下：</w:t>
      </w:r>
    </w:p>
    <w:p w14:paraId="32193209">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一、截至本承诺函签署之日，我司不存在下列情形：</w:t>
      </w:r>
    </w:p>
    <w:p w14:paraId="5EED5E2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（一）供应商相互串通投标或者与采购人串通投标的，供应商向采购人或者评标委员会成员行贿的；</w:t>
      </w:r>
    </w:p>
    <w:p w14:paraId="2CFA3DBF">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（二）以他人名义投标、提供虚假材料或者以其他方式弄虚作假的；</w:t>
      </w:r>
    </w:p>
    <w:p w14:paraId="3D984B22">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（三）出让或者出租资格、资质证书供他人投标的；</w:t>
      </w:r>
    </w:p>
    <w:p w14:paraId="4F3BB311">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（四）供应商或者其他利害关系人捏造事实、伪造材料或者以非法手段取得证明材料进行投诉，给他人造成损失的；</w:t>
      </w:r>
    </w:p>
    <w:p w14:paraId="024DA1C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（五）成交人将成交项目转让给他人的，将成交项目肢解后分别转让给他人的，违反《中华人民共和国招标投标法》规定将成交项目的部分主体、关键性工作分包给他人的，或者分包人再次分包的；</w:t>
      </w:r>
    </w:p>
    <w:p w14:paraId="27E7E891">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（六）成交人无正当理由不与采购人订立合同，在签订合同时向采购人提出附加条件，或者不按照采购文件要求提交履约保证金的；</w:t>
      </w:r>
    </w:p>
    <w:p w14:paraId="082B460A">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（七）拒绝有关部门监督检查或者提供虚假情况的；</w:t>
      </w:r>
    </w:p>
    <w:p w14:paraId="6AD2F747">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（八）提供假冒伪劣产品；</w:t>
      </w:r>
    </w:p>
    <w:p w14:paraId="1C0ACED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（九）无正当理由擅自变更、中止或者终止合同；</w:t>
      </w:r>
    </w:p>
    <w:p w14:paraId="4F5F11A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（十）因供应商原因发生较大及以上安全、质量、环保事故（政府主管部门定性）；</w:t>
      </w:r>
    </w:p>
    <w:p w14:paraId="7838C64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（十一）框架协议采购项目在框架协议期内拒绝接受采购订单数量达3个的；</w:t>
      </w:r>
    </w:p>
    <w:p w14:paraId="0A65E180">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（十二）泄露海口市产业发展投资集团有限公司或子公司的商业秘密，产生不良影响的；</w:t>
      </w:r>
    </w:p>
    <w:p w14:paraId="6175EBA3">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（十三）因供应商自身或其分包单位原因在项目实施过程中产生上访、围堵、重大舆情等恶性事件，影响海口市产业发展投资集团有限公司或子公司声誉的；</w:t>
      </w:r>
    </w:p>
    <w:p w14:paraId="095DF86D">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（十四）擅自更换核心团队/主设备品牌，降低配置，构成实质性违约的；</w:t>
      </w:r>
    </w:p>
    <w:p w14:paraId="476842FB">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（十五）报价失误、漏项导致合同无法履行，又不接受调价或终止合同的；</w:t>
      </w:r>
    </w:p>
    <w:p w14:paraId="06E8F77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（十六）其他违反国家法律、法规行为的。</w:t>
      </w:r>
    </w:p>
    <w:p w14:paraId="32B5C2AB">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6DEED798">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（一）已提交响应文件的供应商尚未完成评审的，作否决响应资格处理；</w:t>
      </w:r>
    </w:p>
    <w:p w14:paraId="44DAD6E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（二）尚未发出成交（入围）通知书的，取消成交（入围）资格；</w:t>
      </w:r>
    </w:p>
    <w:p w14:paraId="38337A90">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（三）已签订框架协议的，不授予新的订单。</w:t>
      </w:r>
    </w:p>
    <w:p w14:paraId="74008A2D">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同时，我司将承担由此给采购人、采购代理机构造成的全部损失（包括但不限于重新采购的费用、工期延误损失等）。</w:t>
      </w:r>
    </w:p>
    <w:p w14:paraId="5F06721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我司保证本承诺函内容真实、准确、完整，不存在任何虚假陈述、隐瞒事实或误导性表述等情形。若本承诺函内容与事实不符，我司自愿接受相关行政监督部门的处罚，并承担由此产生的全部法律责任（包括但不限于对采购人的违约赔偿责任、相应的行政处罚责任等）。</w:t>
      </w:r>
    </w:p>
    <w:p w14:paraId="6242B27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四、本承诺函自我司法定代表人或授权代表人签字并加盖公章之日起生效，对我司具有法律约束力。​</w:t>
      </w:r>
    </w:p>
    <w:p w14:paraId="63240CC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特此承诺！​</w:t>
      </w:r>
    </w:p>
    <w:p w14:paraId="2B856427">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p>
    <w:p w14:paraId="7E80084B">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p>
    <w:p w14:paraId="05FB02B0">
      <w:pPr>
        <w:pageBreakBefore w:val="0"/>
        <w:widowControl/>
        <w:wordWrap/>
        <w:topLinePunct w:val="0"/>
        <w:bidi w:val="0"/>
        <w:adjustRightInd w:val="0"/>
        <w:snapToGrid w:val="0"/>
        <w:spacing w:beforeLines="0" w:afterLines="0" w:line="560" w:lineRule="exact"/>
        <w:ind w:left="3780" w:leftChars="0" w:firstLine="420" w:firstLineChars="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承诺人名称（盖章）：              </w:t>
      </w:r>
    </w:p>
    <w:p w14:paraId="55645EE1">
      <w:pPr>
        <w:widowControl/>
        <w:adjustRightInd w:val="0"/>
        <w:snapToGrid w:val="0"/>
        <w:spacing w:line="560" w:lineRule="exact"/>
        <w:ind w:firstLine="2800" w:firstLineChars="10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法定代表人或其委托代理人：           （签字）</w:t>
      </w:r>
    </w:p>
    <w:p w14:paraId="4BDC800E">
      <w:pPr>
        <w:pageBreakBefore w:val="0"/>
        <w:widowControl/>
        <w:wordWrap/>
        <w:topLinePunct w:val="0"/>
        <w:bidi w:val="0"/>
        <w:adjustRightInd w:val="0"/>
        <w:snapToGrid w:val="0"/>
        <w:spacing w:beforeLines="0" w:afterLines="0" w:line="560" w:lineRule="exact"/>
        <w:jc w:val="both"/>
        <w:rPr>
          <w:rFonts w:hint="default"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                              日    期：     年  月  日</w:t>
      </w:r>
    </w:p>
    <w:p w14:paraId="5C2AB52D">
      <w:pPr>
        <w:widowControl/>
        <w:adjustRightInd/>
        <w:snapToGrid/>
        <w:spacing w:beforeLines="0" w:afterLines="0" w:line="560" w:lineRule="exact"/>
        <w:jc w:val="left"/>
        <w:rPr>
          <w:rFonts w:hint="eastAsia" w:ascii="仿宋_GB2312" w:hAnsi="仿宋_GB2312" w:eastAsia="仿宋_GB2312" w:cs="仿宋_GB2312"/>
          <w:sz w:val="28"/>
          <w:szCs w:val="28"/>
          <w:highlight w:val="none"/>
          <w:lang w:val="en-US" w:eastAsia="zh-CN" w:bidi="ar"/>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BE8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1205A">
                          <w:pPr>
                            <w:pStyle w:val="1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71205A">
                    <w:pPr>
                      <w:pStyle w:val="1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D5E6D"/>
    <w:multiLevelType w:val="singleLevel"/>
    <w:tmpl w:val="AFED5E6D"/>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266805483">
    <w15:presenceInfo w15:providerId="WPS Office" w15:userId="5604465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B1906"/>
    <w:rsid w:val="03955B42"/>
    <w:rsid w:val="04483153"/>
    <w:rsid w:val="05EFA21C"/>
    <w:rsid w:val="0B23522E"/>
    <w:rsid w:val="0E1B5253"/>
    <w:rsid w:val="0FF7FEBA"/>
    <w:rsid w:val="1162E3E7"/>
    <w:rsid w:val="129E244B"/>
    <w:rsid w:val="157B3B21"/>
    <w:rsid w:val="17D388BF"/>
    <w:rsid w:val="180C30D0"/>
    <w:rsid w:val="1B9F707E"/>
    <w:rsid w:val="1BAFCFD2"/>
    <w:rsid w:val="1DDD780B"/>
    <w:rsid w:val="1EEE29FC"/>
    <w:rsid w:val="1EFFD3DC"/>
    <w:rsid w:val="1F7D1D72"/>
    <w:rsid w:val="1F7DE2BF"/>
    <w:rsid w:val="1FAF1F32"/>
    <w:rsid w:val="1FE35959"/>
    <w:rsid w:val="1FE7692D"/>
    <w:rsid w:val="25BDFBF5"/>
    <w:rsid w:val="267D4E7F"/>
    <w:rsid w:val="277EC4B9"/>
    <w:rsid w:val="27FD108A"/>
    <w:rsid w:val="28D305FF"/>
    <w:rsid w:val="29E67293"/>
    <w:rsid w:val="2A830F86"/>
    <w:rsid w:val="2BC30531"/>
    <w:rsid w:val="2D5F55EA"/>
    <w:rsid w:val="2D9E617E"/>
    <w:rsid w:val="2DCB8179"/>
    <w:rsid w:val="2FA70116"/>
    <w:rsid w:val="2FBF672F"/>
    <w:rsid w:val="2FFFC1FD"/>
    <w:rsid w:val="302E6354"/>
    <w:rsid w:val="335217ED"/>
    <w:rsid w:val="33BA8C96"/>
    <w:rsid w:val="34B99E46"/>
    <w:rsid w:val="34FC8D9C"/>
    <w:rsid w:val="357F3D09"/>
    <w:rsid w:val="35E380EC"/>
    <w:rsid w:val="37BEE9CE"/>
    <w:rsid w:val="37FDA378"/>
    <w:rsid w:val="38063B1E"/>
    <w:rsid w:val="3BBC8D19"/>
    <w:rsid w:val="3BFE6BD9"/>
    <w:rsid w:val="3C5FE79A"/>
    <w:rsid w:val="3CDFBA77"/>
    <w:rsid w:val="3D442FD2"/>
    <w:rsid w:val="3DA97F27"/>
    <w:rsid w:val="3E603BE5"/>
    <w:rsid w:val="3EAEA8B1"/>
    <w:rsid w:val="3F77B402"/>
    <w:rsid w:val="3FAD0CCD"/>
    <w:rsid w:val="3FAFB329"/>
    <w:rsid w:val="3FDEEE30"/>
    <w:rsid w:val="3FF37B19"/>
    <w:rsid w:val="3FFB030C"/>
    <w:rsid w:val="420D0C24"/>
    <w:rsid w:val="43E76706"/>
    <w:rsid w:val="45D91ABA"/>
    <w:rsid w:val="47A81A39"/>
    <w:rsid w:val="48FF4C6C"/>
    <w:rsid w:val="4BCFF7AA"/>
    <w:rsid w:val="4BDFB3F3"/>
    <w:rsid w:val="4BFFB3DE"/>
    <w:rsid w:val="4DBCFBB8"/>
    <w:rsid w:val="4EA9018F"/>
    <w:rsid w:val="4EE8F025"/>
    <w:rsid w:val="4EFFCAE3"/>
    <w:rsid w:val="4F0B13F3"/>
    <w:rsid w:val="4F5E0042"/>
    <w:rsid w:val="4F75B68F"/>
    <w:rsid w:val="4FCD4FA4"/>
    <w:rsid w:val="4FD91102"/>
    <w:rsid w:val="4FFDD2E8"/>
    <w:rsid w:val="4FFF76C8"/>
    <w:rsid w:val="50746AF7"/>
    <w:rsid w:val="511F7003"/>
    <w:rsid w:val="53FDC63D"/>
    <w:rsid w:val="5485E6C9"/>
    <w:rsid w:val="556A47A5"/>
    <w:rsid w:val="55EE6E72"/>
    <w:rsid w:val="55FF7B9E"/>
    <w:rsid w:val="56BF34FC"/>
    <w:rsid w:val="57EFEEFC"/>
    <w:rsid w:val="59FBD804"/>
    <w:rsid w:val="5AF0734D"/>
    <w:rsid w:val="5BDA2822"/>
    <w:rsid w:val="5BF495D9"/>
    <w:rsid w:val="5BFAA402"/>
    <w:rsid w:val="5C2C5EC6"/>
    <w:rsid w:val="5C5DA768"/>
    <w:rsid w:val="5CB7A1AE"/>
    <w:rsid w:val="5CEB65ED"/>
    <w:rsid w:val="5D140643"/>
    <w:rsid w:val="5D525F29"/>
    <w:rsid w:val="5DED33C4"/>
    <w:rsid w:val="5DF5F23D"/>
    <w:rsid w:val="5DFBCB79"/>
    <w:rsid w:val="5E521A38"/>
    <w:rsid w:val="5E76DA95"/>
    <w:rsid w:val="5EBF425C"/>
    <w:rsid w:val="5EDA4CDD"/>
    <w:rsid w:val="5EDFB90C"/>
    <w:rsid w:val="5F36CA2D"/>
    <w:rsid w:val="5F7E54B1"/>
    <w:rsid w:val="5FB7FE65"/>
    <w:rsid w:val="615F5DEA"/>
    <w:rsid w:val="61FF8355"/>
    <w:rsid w:val="639C4C39"/>
    <w:rsid w:val="64CF694E"/>
    <w:rsid w:val="659C6374"/>
    <w:rsid w:val="65DB1906"/>
    <w:rsid w:val="65F7C581"/>
    <w:rsid w:val="67FFF415"/>
    <w:rsid w:val="69FE5B5C"/>
    <w:rsid w:val="6A885DA6"/>
    <w:rsid w:val="6ACB3360"/>
    <w:rsid w:val="6ADF1A89"/>
    <w:rsid w:val="6B77B6F5"/>
    <w:rsid w:val="6B97A5C6"/>
    <w:rsid w:val="6BB5464C"/>
    <w:rsid w:val="6BBF164D"/>
    <w:rsid w:val="6BFFAA68"/>
    <w:rsid w:val="6DB71774"/>
    <w:rsid w:val="6DBB15B3"/>
    <w:rsid w:val="6DDE9F50"/>
    <w:rsid w:val="6DFC5B5B"/>
    <w:rsid w:val="6DFDBB32"/>
    <w:rsid w:val="6DFE26F5"/>
    <w:rsid w:val="6E7FB296"/>
    <w:rsid w:val="6EAF86BC"/>
    <w:rsid w:val="6EEF5431"/>
    <w:rsid w:val="6EFA4AA2"/>
    <w:rsid w:val="6F3A1319"/>
    <w:rsid w:val="6FBDED4A"/>
    <w:rsid w:val="6FD9889D"/>
    <w:rsid w:val="6FDD10AF"/>
    <w:rsid w:val="716EDA4C"/>
    <w:rsid w:val="72EF793D"/>
    <w:rsid w:val="72EFAB76"/>
    <w:rsid w:val="72FF8F78"/>
    <w:rsid w:val="736F85FB"/>
    <w:rsid w:val="73BD6EBC"/>
    <w:rsid w:val="73FA9720"/>
    <w:rsid w:val="73FE828D"/>
    <w:rsid w:val="745A75A8"/>
    <w:rsid w:val="754B0648"/>
    <w:rsid w:val="75DCE276"/>
    <w:rsid w:val="76B6A3F8"/>
    <w:rsid w:val="76B9DE86"/>
    <w:rsid w:val="776BE542"/>
    <w:rsid w:val="779FF98D"/>
    <w:rsid w:val="77BB2B60"/>
    <w:rsid w:val="77BE346B"/>
    <w:rsid w:val="77CB0B08"/>
    <w:rsid w:val="77DEE571"/>
    <w:rsid w:val="77E32B58"/>
    <w:rsid w:val="77E382DA"/>
    <w:rsid w:val="77E67D42"/>
    <w:rsid w:val="77FA6FAF"/>
    <w:rsid w:val="77FF1C29"/>
    <w:rsid w:val="78BF095C"/>
    <w:rsid w:val="78F14D7D"/>
    <w:rsid w:val="791F0D11"/>
    <w:rsid w:val="79A41981"/>
    <w:rsid w:val="79C7F513"/>
    <w:rsid w:val="7A7E2385"/>
    <w:rsid w:val="7B4F9B41"/>
    <w:rsid w:val="7B7654D8"/>
    <w:rsid w:val="7B7B20E4"/>
    <w:rsid w:val="7B7BB090"/>
    <w:rsid w:val="7BA6C60A"/>
    <w:rsid w:val="7BB7060A"/>
    <w:rsid w:val="7BB715FF"/>
    <w:rsid w:val="7BCE9988"/>
    <w:rsid w:val="7BCF8139"/>
    <w:rsid w:val="7BDA6D1A"/>
    <w:rsid w:val="7BDF7444"/>
    <w:rsid w:val="7BE7AC5A"/>
    <w:rsid w:val="7BEE2FC2"/>
    <w:rsid w:val="7BEFA85B"/>
    <w:rsid w:val="7BF2BCC7"/>
    <w:rsid w:val="7BF33EDE"/>
    <w:rsid w:val="7BFA1FB0"/>
    <w:rsid w:val="7CBD82FC"/>
    <w:rsid w:val="7CFCD8B6"/>
    <w:rsid w:val="7D575A0F"/>
    <w:rsid w:val="7D79E1C4"/>
    <w:rsid w:val="7D9EDDC7"/>
    <w:rsid w:val="7DBBCBAB"/>
    <w:rsid w:val="7DDF0F8C"/>
    <w:rsid w:val="7DFCA389"/>
    <w:rsid w:val="7E1E077B"/>
    <w:rsid w:val="7E5DEB4E"/>
    <w:rsid w:val="7E6D6430"/>
    <w:rsid w:val="7EA5AAF8"/>
    <w:rsid w:val="7EBB0166"/>
    <w:rsid w:val="7EC95C8F"/>
    <w:rsid w:val="7EEDEBCD"/>
    <w:rsid w:val="7EFB2854"/>
    <w:rsid w:val="7EFB64A3"/>
    <w:rsid w:val="7EFBC899"/>
    <w:rsid w:val="7EFF36AC"/>
    <w:rsid w:val="7F26DE93"/>
    <w:rsid w:val="7F5F6ACA"/>
    <w:rsid w:val="7F66FD2E"/>
    <w:rsid w:val="7F6E9757"/>
    <w:rsid w:val="7F77AACB"/>
    <w:rsid w:val="7F7FCC94"/>
    <w:rsid w:val="7FAF5764"/>
    <w:rsid w:val="7FB7A65F"/>
    <w:rsid w:val="7FBB4331"/>
    <w:rsid w:val="7FCF3A5E"/>
    <w:rsid w:val="7FCFE99F"/>
    <w:rsid w:val="7FD38030"/>
    <w:rsid w:val="7FD763F9"/>
    <w:rsid w:val="7FDF2AA4"/>
    <w:rsid w:val="7FDF6036"/>
    <w:rsid w:val="7FEB10A1"/>
    <w:rsid w:val="7FEFB44C"/>
    <w:rsid w:val="7FF769C6"/>
    <w:rsid w:val="7FFA8C9F"/>
    <w:rsid w:val="7FFBA115"/>
    <w:rsid w:val="7FFBACED"/>
    <w:rsid w:val="7FFD0EFA"/>
    <w:rsid w:val="7FFE62E0"/>
    <w:rsid w:val="7FFE67BE"/>
    <w:rsid w:val="7FFEAB0B"/>
    <w:rsid w:val="7FFEF5B8"/>
    <w:rsid w:val="7FFFCC58"/>
    <w:rsid w:val="7FFFE30B"/>
    <w:rsid w:val="87CF196F"/>
    <w:rsid w:val="8F8F5356"/>
    <w:rsid w:val="8FDD5432"/>
    <w:rsid w:val="917BB391"/>
    <w:rsid w:val="95F8F233"/>
    <w:rsid w:val="96FFB6D0"/>
    <w:rsid w:val="97BB3AED"/>
    <w:rsid w:val="9AFC5155"/>
    <w:rsid w:val="9BF104E0"/>
    <w:rsid w:val="9F3F99E9"/>
    <w:rsid w:val="9FF350A5"/>
    <w:rsid w:val="9FFEB340"/>
    <w:rsid w:val="A957A978"/>
    <w:rsid w:val="AA9E3463"/>
    <w:rsid w:val="AB63EC46"/>
    <w:rsid w:val="AD7F0E61"/>
    <w:rsid w:val="ADF46FC8"/>
    <w:rsid w:val="AF3F600A"/>
    <w:rsid w:val="AFBD6FDD"/>
    <w:rsid w:val="AFBF6893"/>
    <w:rsid w:val="AFE34919"/>
    <w:rsid w:val="AFF9D36F"/>
    <w:rsid w:val="AFFFD248"/>
    <w:rsid w:val="B4BF8BD8"/>
    <w:rsid w:val="B55BA1DA"/>
    <w:rsid w:val="B562032C"/>
    <w:rsid w:val="B73BF10D"/>
    <w:rsid w:val="B9D19AC0"/>
    <w:rsid w:val="B9F7238E"/>
    <w:rsid w:val="BA6B3784"/>
    <w:rsid w:val="BBB711DD"/>
    <w:rsid w:val="BBF9DE54"/>
    <w:rsid w:val="BBFFB243"/>
    <w:rsid w:val="BCDBAD1A"/>
    <w:rsid w:val="BCF75011"/>
    <w:rsid w:val="BDEC42AB"/>
    <w:rsid w:val="BDFD4B53"/>
    <w:rsid w:val="BE9F07FC"/>
    <w:rsid w:val="BEA74430"/>
    <w:rsid w:val="BECE2144"/>
    <w:rsid w:val="BED774C6"/>
    <w:rsid w:val="BEDFF2CD"/>
    <w:rsid w:val="BF5DF866"/>
    <w:rsid w:val="BF5FDCE8"/>
    <w:rsid w:val="BFB6997E"/>
    <w:rsid w:val="BFBB2AC9"/>
    <w:rsid w:val="BFCEE9A0"/>
    <w:rsid w:val="BFED6B84"/>
    <w:rsid w:val="C3FF8013"/>
    <w:rsid w:val="CADFBEBD"/>
    <w:rsid w:val="CFE4C6CC"/>
    <w:rsid w:val="CFE7EC10"/>
    <w:rsid w:val="D12F88F4"/>
    <w:rsid w:val="D33BBEC3"/>
    <w:rsid w:val="D3EBCA43"/>
    <w:rsid w:val="D66F2461"/>
    <w:rsid w:val="D73D3828"/>
    <w:rsid w:val="D7B7A60D"/>
    <w:rsid w:val="D7D36509"/>
    <w:rsid w:val="D7E7434E"/>
    <w:rsid w:val="D7EE633E"/>
    <w:rsid w:val="D7EF428C"/>
    <w:rsid w:val="D7EF9F23"/>
    <w:rsid w:val="D7FD6BD6"/>
    <w:rsid w:val="D7FFB294"/>
    <w:rsid w:val="D8FBA870"/>
    <w:rsid w:val="D9E76C59"/>
    <w:rsid w:val="DA3BC663"/>
    <w:rsid w:val="DB0F23F7"/>
    <w:rsid w:val="DB77291A"/>
    <w:rsid w:val="DBFE5DEA"/>
    <w:rsid w:val="DCFDB7ED"/>
    <w:rsid w:val="DDE74534"/>
    <w:rsid w:val="DDF7CE51"/>
    <w:rsid w:val="DED75CF5"/>
    <w:rsid w:val="DEDBDBFC"/>
    <w:rsid w:val="DF673070"/>
    <w:rsid w:val="DF6D7070"/>
    <w:rsid w:val="DFAF700F"/>
    <w:rsid w:val="DFBF453C"/>
    <w:rsid w:val="DFCD6668"/>
    <w:rsid w:val="DFCEA909"/>
    <w:rsid w:val="E2FE2F9F"/>
    <w:rsid w:val="E5DBBC1C"/>
    <w:rsid w:val="E5F9D694"/>
    <w:rsid w:val="E6BD6070"/>
    <w:rsid w:val="E6F72834"/>
    <w:rsid w:val="E77FE94A"/>
    <w:rsid w:val="E7DA5ECD"/>
    <w:rsid w:val="E7DD588B"/>
    <w:rsid w:val="E9FD8088"/>
    <w:rsid w:val="EBD349C5"/>
    <w:rsid w:val="EC7EED29"/>
    <w:rsid w:val="ECBD4214"/>
    <w:rsid w:val="ECF7CF62"/>
    <w:rsid w:val="EDBCA31F"/>
    <w:rsid w:val="EDDF46F5"/>
    <w:rsid w:val="EE5EBE78"/>
    <w:rsid w:val="EF5D0D25"/>
    <w:rsid w:val="EF5D7AC2"/>
    <w:rsid w:val="EF6DBF01"/>
    <w:rsid w:val="EF7BD334"/>
    <w:rsid w:val="EFB7AED3"/>
    <w:rsid w:val="EFBF510D"/>
    <w:rsid w:val="EFDE58B6"/>
    <w:rsid w:val="EFED5349"/>
    <w:rsid w:val="EFF77AF6"/>
    <w:rsid w:val="F1698D4E"/>
    <w:rsid w:val="F1D9147F"/>
    <w:rsid w:val="F3DA9256"/>
    <w:rsid w:val="F3F91F56"/>
    <w:rsid w:val="F5D32B72"/>
    <w:rsid w:val="F663FCB0"/>
    <w:rsid w:val="F6EED45D"/>
    <w:rsid w:val="F77D7440"/>
    <w:rsid w:val="F796B221"/>
    <w:rsid w:val="F7AB0BFD"/>
    <w:rsid w:val="F7EB9BA2"/>
    <w:rsid w:val="F7F59137"/>
    <w:rsid w:val="F7F5B540"/>
    <w:rsid w:val="F7FA4B3A"/>
    <w:rsid w:val="F7FD04CA"/>
    <w:rsid w:val="F8F24D8C"/>
    <w:rsid w:val="F97F70A8"/>
    <w:rsid w:val="F9F7C842"/>
    <w:rsid w:val="FA7B9B03"/>
    <w:rsid w:val="FAADEDEA"/>
    <w:rsid w:val="FAFF6AF2"/>
    <w:rsid w:val="FB27791A"/>
    <w:rsid w:val="FB4F0434"/>
    <w:rsid w:val="FBBC103A"/>
    <w:rsid w:val="FBBF0285"/>
    <w:rsid w:val="FBCDDFAC"/>
    <w:rsid w:val="FBECB56F"/>
    <w:rsid w:val="FBF1C49E"/>
    <w:rsid w:val="FBFF1025"/>
    <w:rsid w:val="FBFF37AF"/>
    <w:rsid w:val="FCA74A13"/>
    <w:rsid w:val="FCCC7C66"/>
    <w:rsid w:val="FD3719AF"/>
    <w:rsid w:val="FD3FAD55"/>
    <w:rsid w:val="FD6380EF"/>
    <w:rsid w:val="FDF7D689"/>
    <w:rsid w:val="FDFBA1CE"/>
    <w:rsid w:val="FDFEC430"/>
    <w:rsid w:val="FDFF2B73"/>
    <w:rsid w:val="FDFF6D73"/>
    <w:rsid w:val="FE4FC7D1"/>
    <w:rsid w:val="FEF7BEE9"/>
    <w:rsid w:val="FEF9F384"/>
    <w:rsid w:val="FEFD905D"/>
    <w:rsid w:val="FEFE625A"/>
    <w:rsid w:val="FEFF5031"/>
    <w:rsid w:val="FF2FC736"/>
    <w:rsid w:val="FF3DC869"/>
    <w:rsid w:val="FF44E839"/>
    <w:rsid w:val="FF57AA28"/>
    <w:rsid w:val="FF7798EE"/>
    <w:rsid w:val="FF7C26FB"/>
    <w:rsid w:val="FF7D7E2C"/>
    <w:rsid w:val="FF7F7C5C"/>
    <w:rsid w:val="FF9183FA"/>
    <w:rsid w:val="FF9634D8"/>
    <w:rsid w:val="FF9DE157"/>
    <w:rsid w:val="FFAF588E"/>
    <w:rsid w:val="FFAF8A53"/>
    <w:rsid w:val="FFB7F354"/>
    <w:rsid w:val="FFB80F24"/>
    <w:rsid w:val="FFBF6167"/>
    <w:rsid w:val="FFC4E56F"/>
    <w:rsid w:val="FFDCBC51"/>
    <w:rsid w:val="FFDF7451"/>
    <w:rsid w:val="FFDFD577"/>
    <w:rsid w:val="FFEE7892"/>
    <w:rsid w:val="FFEF2165"/>
    <w:rsid w:val="FFFAF12F"/>
    <w:rsid w:val="FFFE0EA3"/>
    <w:rsid w:val="FFFE45B5"/>
    <w:rsid w:val="FFFE97EB"/>
    <w:rsid w:val="FFFEF9E5"/>
    <w:rsid w:val="FFFF8A7C"/>
    <w:rsid w:val="FFFFA9FD"/>
    <w:rsid w:val="FFFF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964" w:firstLineChars="200"/>
    </w:pPr>
    <w:rPr>
      <w:rFonts w:ascii="Calibri" w:hAnsi="Calibri" w:cs="宋体"/>
      <w:szCs w:val="22"/>
    </w:rPr>
  </w:style>
  <w:style w:type="paragraph" w:styleId="6">
    <w:name w:val="caption"/>
    <w:basedOn w:val="1"/>
    <w:next w:val="1"/>
    <w:qFormat/>
    <w:uiPriority w:val="0"/>
    <w:pPr>
      <w:spacing w:before="152" w:after="160"/>
    </w:pPr>
    <w:rPr>
      <w:rFonts w:ascii="Arial" w:hAnsi="Arial" w:eastAsia="黑体"/>
      <w:sz w:val="32"/>
      <w:szCs w:val="20"/>
    </w:rPr>
  </w:style>
  <w:style w:type="paragraph" w:styleId="7">
    <w:name w:val="annotation text"/>
    <w:basedOn w:val="1"/>
    <w:qFormat/>
    <w:uiPriority w:val="0"/>
    <w:pPr>
      <w:jc w:val="left"/>
    </w:pPr>
  </w:style>
  <w:style w:type="paragraph" w:styleId="8">
    <w:name w:val="Body Text"/>
    <w:basedOn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表格文字"/>
    <w:basedOn w:val="18"/>
    <w:qFormat/>
    <w:uiPriority w:val="0"/>
    <w:pPr>
      <w:spacing w:before="25" w:beforeLines="0" w:after="25" w:afterLines="0"/>
      <w:jc w:val="left"/>
    </w:pPr>
    <w:rPr>
      <w:bCs/>
      <w:spacing w:val="10"/>
      <w:kern w:val="0"/>
      <w:sz w:val="24"/>
      <w:szCs w:val="20"/>
    </w:rPr>
  </w:style>
  <w:style w:type="paragraph" w:customStyle="1" w:styleId="18">
    <w:name w:val="正文 New New New New New New New New New New New New New New New New New New New New New New New New New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样式 首行缩进:  2 字符"/>
    <w:basedOn w:val="1"/>
    <w:qFormat/>
    <w:uiPriority w:val="0"/>
    <w:pPr>
      <w:ind w:firstLine="560"/>
    </w:pPr>
    <w:rPr>
      <w:rFonts w:eastAsia="仿宋_GB2312" w:cs="宋体"/>
      <w:sz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styleId="21">
    <w:name w:val="List Paragraph"/>
    <w:basedOn w:val="1"/>
    <w:qFormat/>
    <w:uiPriority w:val="34"/>
    <w:pPr>
      <w:widowControl/>
      <w:spacing w:after="200" w:line="276" w:lineRule="auto"/>
      <w:ind w:left="720"/>
      <w:contextualSpacing/>
      <w:jc w:val="left"/>
    </w:pPr>
    <w:rPr>
      <w:rFonts w:ascii="Cambria" w:hAnsi="Cambria"/>
      <w:kern w:val="0"/>
      <w:sz w:val="22"/>
      <w:szCs w:val="22"/>
    </w:rPr>
  </w:style>
  <w:style w:type="paragraph" w:customStyle="1" w:styleId="22">
    <w:name w:val="我的正文"/>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14:ligatures w14:val="none"/>
    </w:rPr>
  </w:style>
  <w:style w:type="paragraph" w:customStyle="1" w:styleId="23">
    <w:name w:val="无间隔1"/>
    <w:basedOn w:val="1"/>
    <w:next w:val="6"/>
    <w:qFormat/>
    <w:uiPriority w:val="1"/>
    <w:pPr>
      <w:spacing w:line="400" w:lineRule="exact"/>
    </w:pPr>
  </w:style>
  <w:style w:type="paragraph" w:customStyle="1" w:styleId="24">
    <w:name w:val="1"/>
    <w:basedOn w:val="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5413</Words>
  <Characters>5544</Characters>
  <Lines>0</Lines>
  <Paragraphs>0</Paragraphs>
  <TotalTime>6</TotalTime>
  <ScaleCrop>false</ScaleCrop>
  <LinksUpToDate>false</LinksUpToDate>
  <CharactersWithSpaces>5632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2025-07-05T03:27:00Z</dcterms:created>
  <dc:creator>陈佳璐</dc:creator>
  <cp:lastModifiedBy>企业用户_266805483</cp:lastModifiedBy>
  <cp:lastPrinted>2025-08-26T03:54:00Z</cp:lastPrinted>
  <dcterms:modified xsi:type="dcterms:W3CDTF">2025-11-11T09:23:18Z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1286C8CEEEC8BC49B6F00A695A20C4E1_43</vt:lpwstr>
  </property>
  <property fmtid="{D5CDD505-2E9C-101B-9397-08002B2CF9AE}" pid="4" name="KSOTemplateDocerSaveRecord">
    <vt:lpwstr>eyJoZGlkIjoiMmFkNjEzZThkNDQ1MzYxMWZjODM3YTk4OWY2NTk2ZDciLCJ1c2VySWQiOiIzMjA1OTMxNDIifQ==</vt:lpwstr>
  </property>
</Properties>
</file>