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8B8E8">
      <w:pPr>
        <w:rPr>
          <w:rFonts w:ascii="Times New Roman" w:hAnsi="Times New Roman" w:eastAsia="仿宋_GB2312" w:cs="Times New Roman"/>
          <w:color w:val="000000" w:themeColor="text1"/>
          <w:sz w:val="28"/>
          <w:szCs w:val="28"/>
          <w14:textFill>
            <w14:solidFill>
              <w14:schemeClr w14:val="tx1"/>
            </w14:solidFill>
          </w14:textFill>
        </w:rPr>
      </w:pPr>
      <w:bookmarkStart w:id="1" w:name="_GoBack"/>
      <w:bookmarkEnd w:id="1"/>
    </w:p>
    <w:p w14:paraId="55266C03">
      <w:pPr>
        <w:jc w:val="center"/>
        <w:rPr>
          <w:rFonts w:ascii="方正大标宋_GBK" w:hAnsi="方正大标宋_GBK" w:eastAsia="方正大标宋_GBK" w:cs="方正大标宋_GBK"/>
          <w:color w:val="000000" w:themeColor="text1"/>
          <w:sz w:val="72"/>
          <w:szCs w:val="72"/>
          <w14:textFill>
            <w14:solidFill>
              <w14:schemeClr w14:val="tx1"/>
            </w14:solidFill>
          </w14:textFill>
        </w:rPr>
      </w:pPr>
    </w:p>
    <w:p w14:paraId="443F55C0">
      <w:pPr>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b/>
          <w:bCs/>
          <w:color w:val="000000" w:themeColor="text1"/>
          <w:spacing w:val="85"/>
          <w:sz w:val="64"/>
          <w:szCs w:val="64"/>
          <w14:textFill>
            <w14:solidFill>
              <w14:schemeClr w14:val="tx1"/>
            </w14:solidFill>
          </w14:textFill>
        </w:rPr>
        <w:t>聘请常年法律顾问合同</w:t>
      </w:r>
    </w:p>
    <w:p w14:paraId="15D99479">
      <w:pPr>
        <w:rPr>
          <w:rFonts w:ascii="Times New Roman" w:hAnsi="Times New Roman" w:eastAsia="仿宋_GB2312" w:cs="Times New Roman"/>
          <w:color w:val="000000" w:themeColor="text1"/>
          <w:sz w:val="28"/>
          <w:szCs w:val="28"/>
          <w14:textFill>
            <w14:solidFill>
              <w14:schemeClr w14:val="tx1"/>
            </w14:solidFill>
          </w14:textFill>
        </w:rPr>
      </w:pPr>
    </w:p>
    <w:p w14:paraId="07AC48EB">
      <w:pPr>
        <w:rPr>
          <w:rFonts w:ascii="Times New Roman" w:hAnsi="Times New Roman" w:eastAsia="仿宋_GB2312" w:cs="Times New Roman"/>
          <w:color w:val="000000" w:themeColor="text1"/>
          <w:sz w:val="28"/>
          <w:szCs w:val="28"/>
          <w14:textFill>
            <w14:solidFill>
              <w14:schemeClr w14:val="tx1"/>
            </w14:solidFill>
          </w14:textFill>
        </w:rPr>
      </w:pPr>
    </w:p>
    <w:p w14:paraId="0A98869F">
      <w:pPr>
        <w:rPr>
          <w:rFonts w:ascii="Times New Roman" w:hAnsi="Times New Roman" w:eastAsia="仿宋_GB2312" w:cs="Times New Roman"/>
          <w:color w:val="000000" w:themeColor="text1"/>
          <w:sz w:val="28"/>
          <w:szCs w:val="28"/>
          <w14:textFill>
            <w14:solidFill>
              <w14:schemeClr w14:val="tx1"/>
            </w14:solidFill>
          </w14:textFill>
        </w:rPr>
      </w:pPr>
    </w:p>
    <w:p w14:paraId="177D5E88">
      <w:pPr>
        <w:rPr>
          <w:rFonts w:ascii="Times New Roman" w:hAnsi="Times New Roman" w:eastAsia="仿宋_GB2312" w:cs="Times New Roman"/>
          <w:color w:val="000000" w:themeColor="text1"/>
          <w:sz w:val="28"/>
          <w:szCs w:val="28"/>
          <w14:textFill>
            <w14:solidFill>
              <w14:schemeClr w14:val="tx1"/>
            </w14:solidFill>
          </w14:textFill>
        </w:rPr>
      </w:pPr>
    </w:p>
    <w:p w14:paraId="0EFE6AD9">
      <w:pPr>
        <w:rPr>
          <w:rFonts w:ascii="Times New Roman" w:hAnsi="Times New Roman" w:eastAsia="仿宋_GB2312" w:cs="Times New Roman"/>
          <w:color w:val="000000" w:themeColor="text1"/>
          <w:sz w:val="28"/>
          <w:szCs w:val="28"/>
          <w14:textFill>
            <w14:solidFill>
              <w14:schemeClr w14:val="tx1"/>
            </w14:solidFill>
          </w14:textFill>
        </w:rPr>
      </w:pPr>
    </w:p>
    <w:p w14:paraId="6749996D">
      <w:pPr>
        <w:rPr>
          <w:rFonts w:ascii="Times New Roman" w:hAnsi="Times New Roman" w:eastAsia="仿宋_GB2312" w:cs="Times New Roman"/>
          <w:color w:val="000000" w:themeColor="text1"/>
          <w:sz w:val="28"/>
          <w:szCs w:val="28"/>
          <w14:textFill>
            <w14:solidFill>
              <w14:schemeClr w14:val="tx1"/>
            </w14:solidFill>
          </w14:textFill>
        </w:rPr>
      </w:pPr>
    </w:p>
    <w:p w14:paraId="0D802996">
      <w:pPr>
        <w:rPr>
          <w:rFonts w:ascii="Times New Roman" w:hAnsi="Times New Roman" w:eastAsia="仿宋_GB2312" w:cs="Times New Roman"/>
          <w:color w:val="000000" w:themeColor="text1"/>
          <w:sz w:val="28"/>
          <w:szCs w:val="28"/>
          <w14:textFill>
            <w14:solidFill>
              <w14:schemeClr w14:val="tx1"/>
            </w14:solidFill>
          </w14:textFill>
        </w:rPr>
      </w:pPr>
    </w:p>
    <w:p w14:paraId="6F8651EA">
      <w:pPr>
        <w:rPr>
          <w:rFonts w:ascii="Times New Roman" w:hAnsi="Times New Roman" w:eastAsia="仿宋_GB2312" w:cs="Times New Roman"/>
          <w:color w:val="000000" w:themeColor="text1"/>
          <w:sz w:val="28"/>
          <w:szCs w:val="28"/>
          <w14:textFill>
            <w14:solidFill>
              <w14:schemeClr w14:val="tx1"/>
            </w14:solidFill>
          </w14:textFill>
        </w:rPr>
      </w:pPr>
    </w:p>
    <w:p w14:paraId="3F2042BE">
      <w:pPr>
        <w:rPr>
          <w:rFonts w:ascii="Times New Roman" w:hAnsi="Times New Roman" w:eastAsia="仿宋_GB2312" w:cs="Times New Roman"/>
          <w:color w:val="000000" w:themeColor="text1"/>
          <w:sz w:val="28"/>
          <w:szCs w:val="28"/>
          <w14:textFill>
            <w14:solidFill>
              <w14:schemeClr w14:val="tx1"/>
            </w14:solidFill>
          </w14:textFill>
        </w:rPr>
      </w:pPr>
    </w:p>
    <w:p w14:paraId="47D54F0D">
      <w:pPr>
        <w:rPr>
          <w:rFonts w:ascii="Times New Roman" w:hAnsi="Times New Roman" w:eastAsia="仿宋_GB2312" w:cs="Times New Roman"/>
          <w:color w:val="000000" w:themeColor="text1"/>
          <w:sz w:val="28"/>
          <w:szCs w:val="28"/>
          <w14:textFill>
            <w14:solidFill>
              <w14:schemeClr w14:val="tx1"/>
            </w14:solidFill>
          </w14:textFill>
        </w:rPr>
      </w:pPr>
    </w:p>
    <w:p w14:paraId="03C6AB12">
      <w:pPr>
        <w:rPr>
          <w:rFonts w:ascii="Times New Roman" w:hAnsi="Times New Roman" w:eastAsia="仿宋_GB2312" w:cs="Times New Roman"/>
          <w:color w:val="000000" w:themeColor="text1"/>
          <w:sz w:val="28"/>
          <w:szCs w:val="28"/>
          <w14:textFill>
            <w14:solidFill>
              <w14:schemeClr w14:val="tx1"/>
            </w14:solidFill>
          </w14:textFill>
        </w:rPr>
      </w:pPr>
    </w:p>
    <w:p w14:paraId="2B9FCCBA">
      <w:pPr>
        <w:rPr>
          <w:rFonts w:ascii="Times New Roman" w:hAnsi="Times New Roman" w:eastAsia="仿宋_GB2312" w:cs="Times New Roman"/>
          <w:color w:val="000000" w:themeColor="text1"/>
          <w:sz w:val="28"/>
          <w:szCs w:val="28"/>
          <w14:textFill>
            <w14:solidFill>
              <w14:schemeClr w14:val="tx1"/>
            </w14:solidFill>
          </w14:textFill>
        </w:rPr>
      </w:pPr>
    </w:p>
    <w:p w14:paraId="300DA247">
      <w:pPr>
        <w:rPr>
          <w:rFonts w:ascii="Times New Roman" w:hAnsi="Times New Roman" w:eastAsia="仿宋_GB2312" w:cs="Times New Roman"/>
          <w:color w:val="000000" w:themeColor="text1"/>
          <w:sz w:val="28"/>
          <w:szCs w:val="28"/>
          <w14:textFill>
            <w14:solidFill>
              <w14:schemeClr w14:val="tx1"/>
            </w14:solidFill>
          </w14:textFill>
        </w:rPr>
      </w:pPr>
    </w:p>
    <w:p w14:paraId="72D721F9">
      <w:pPr>
        <w:rPr>
          <w:rFonts w:ascii="Times New Roman" w:hAnsi="Times New Roman" w:eastAsia="仿宋_GB2312" w:cs="Times New Roman"/>
          <w:color w:val="000000" w:themeColor="text1"/>
          <w:sz w:val="28"/>
          <w:szCs w:val="28"/>
          <w14:textFill>
            <w14:solidFill>
              <w14:schemeClr w14:val="tx1"/>
            </w14:solidFill>
          </w14:textFill>
        </w:rPr>
      </w:pPr>
    </w:p>
    <w:p w14:paraId="0E49615B">
      <w:pPr>
        <w:adjustRightInd w:val="0"/>
        <w:snapToGrid w:val="0"/>
        <w:spacing w:line="400" w:lineRule="exact"/>
        <w:ind w:firstLine="2912" w:firstLineChars="700"/>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pacing w:val="28"/>
          <w:sz w:val="36"/>
          <w:szCs w:val="36"/>
          <w14:textFill>
            <w14:solidFill>
              <w14:schemeClr w14:val="tx1"/>
            </w14:solidFill>
          </w14:textFill>
        </w:rPr>
        <w:t>海南省司法厅</w:t>
      </w:r>
      <w:r>
        <w:rPr>
          <w:rFonts w:hint="eastAsia" w:ascii="方正小标宋_GBK" w:hAnsi="方正小标宋_GBK" w:eastAsia="方正小标宋_GBK" w:cs="方正小标宋_GBK"/>
          <w:color w:val="000000" w:themeColor="text1"/>
          <w:spacing w:val="57"/>
          <w:sz w:val="36"/>
          <w:szCs w:val="36"/>
          <w14:textFill>
            <w14:solidFill>
              <w14:schemeClr w14:val="tx1"/>
            </w14:solidFill>
          </w14:textFill>
        </w:rPr>
        <w:t xml:space="preserve"> </w:t>
      </w:r>
    </w:p>
    <w:p w14:paraId="229F48F1">
      <w:pPr>
        <w:adjustRightInd w:val="0"/>
        <w:snapToGrid w:val="0"/>
        <w:spacing w:line="400" w:lineRule="exact"/>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 xml:space="preserve">               监 制</w:t>
      </w:r>
    </w:p>
    <w:p w14:paraId="0B468583">
      <w:pPr>
        <w:adjustRightInd w:val="0"/>
        <w:snapToGrid w:val="0"/>
        <w:spacing w:line="400" w:lineRule="exact"/>
        <w:ind w:firstLine="2880" w:firstLineChars="800"/>
        <w:rPr>
          <w:rFonts w:ascii="Times New Roman" w:hAnsi="Times New Roman" w:eastAsia="仿宋_GB2312" w:cs="Times New Roman"/>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海南省律师协会</w:t>
      </w:r>
    </w:p>
    <w:p w14:paraId="144A88AA">
      <w:pPr>
        <w:spacing w:line="400" w:lineRule="exact"/>
        <w:rPr>
          <w:rFonts w:ascii="Times New Roman" w:hAnsi="Times New Roman" w:eastAsia="仿宋_GB2312" w:cs="Times New Roman"/>
          <w:color w:val="000000" w:themeColor="text1"/>
          <w:sz w:val="36"/>
          <w:szCs w:val="36"/>
          <w14:textFill>
            <w14:solidFill>
              <w14:schemeClr w14:val="tx1"/>
            </w14:solidFill>
          </w14:textFill>
        </w:rPr>
      </w:pPr>
    </w:p>
    <w:p w14:paraId="73CA39D3">
      <w:pPr>
        <w:jc w:val="center"/>
        <w:rPr>
          <w:rFonts w:ascii="方正大标宋_GBK" w:hAnsi="方正大标宋_GBK" w:eastAsia="方正大标宋_GBK" w:cs="方正大标宋_GBK"/>
          <w:color w:val="000000" w:themeColor="text1"/>
          <w:szCs w:val="21"/>
          <w14:textFill>
            <w14:solidFill>
              <w14:schemeClr w14:val="tx1"/>
            </w14:solidFill>
          </w14:textFill>
        </w:rPr>
        <w:sectPr>
          <w:footerReference r:id="rId3" w:type="default"/>
          <w:pgSz w:w="11906" w:h="16838"/>
          <w:pgMar w:top="1440" w:right="1417" w:bottom="1440" w:left="1417" w:header="851" w:footer="992" w:gutter="0"/>
          <w:pgNumType w:fmt="decimal"/>
          <w:cols w:space="425" w:num="1"/>
          <w:docGrid w:type="lines" w:linePitch="312" w:charSpace="0"/>
        </w:sectPr>
      </w:pPr>
    </w:p>
    <w:p w14:paraId="4AEAB2FE">
      <w:pPr>
        <w:jc w:val="center"/>
        <w:rPr>
          <w:rFonts w:ascii="方正大标宋_GBK" w:hAnsi="方正大标宋_GBK" w:eastAsia="方正大标宋_GBK" w:cs="方正大标宋_GBK"/>
          <w:color w:val="000000" w:themeColor="text1"/>
          <w:szCs w:val="21"/>
          <w14:textFill>
            <w14:solidFill>
              <w14:schemeClr w14:val="tx1"/>
            </w14:solidFill>
          </w14:textFill>
        </w:rPr>
      </w:pPr>
    </w:p>
    <w:p w14:paraId="54287248">
      <w:pPr>
        <w:jc w:val="center"/>
        <w:rPr>
          <w:rFonts w:ascii="Times New Roman" w:hAnsi="Times New Roman" w:eastAsia="仿宋_GB2312" w:cs="Times New Roman"/>
          <w:color w:val="000000" w:themeColor="text1"/>
          <w:sz w:val="28"/>
          <w:szCs w:val="28"/>
          <w14:textFill>
            <w14:solidFill>
              <w14:schemeClr w14:val="tx1"/>
            </w14:solidFill>
          </w14:textFill>
        </w:rPr>
      </w:pPr>
      <w:r>
        <w:rPr>
          <w:rFonts w:hint="eastAsia" w:ascii="方正大标宋_GBK" w:hAnsi="方正大标宋_GBK" w:eastAsia="方正大标宋_GBK" w:cs="方正大标宋_GBK"/>
          <w:color w:val="000000" w:themeColor="text1"/>
          <w:sz w:val="44"/>
          <w:szCs w:val="44"/>
          <w14:textFill>
            <w14:solidFill>
              <w14:schemeClr w14:val="tx1"/>
            </w14:solidFill>
          </w14:textFill>
        </w:rPr>
        <w:t>聘请常年法律顾问合同</w:t>
      </w:r>
    </w:p>
    <w:p w14:paraId="757ACA1F">
      <w:pPr>
        <w:rPr>
          <w:rFonts w:ascii="Times New Roman" w:hAnsi="Times New Roman" w:eastAsia="仿宋_GB2312" w:cs="Times New Roman"/>
          <w:color w:val="000000" w:themeColor="text1"/>
          <w:sz w:val="28"/>
          <w:szCs w:val="28"/>
          <w14:textFill>
            <w14:solidFill>
              <w14:schemeClr w14:val="tx1"/>
            </w14:solidFill>
          </w14:textFill>
        </w:rPr>
      </w:pPr>
    </w:p>
    <w:p w14:paraId="32E56319">
      <w:pPr>
        <w:jc w:val="right"/>
        <w:rPr>
          <w:rFonts w:asciiTheme="minorEastAsia" w:hAnsiTheme="minorEastAsia" w:cstheme="minorEastAsia"/>
          <w:color w:val="000000" w:themeColor="text1"/>
          <w:sz w:val="24"/>
          <w14:textFill>
            <w14:solidFill>
              <w14:schemeClr w14:val="tx1"/>
            </w14:solidFill>
          </w14:textFill>
        </w:rPr>
      </w:pPr>
      <w:r>
        <w:rPr>
          <w:rFonts w:hint="eastAsia" w:asciiTheme="minorEastAsia" w:hAnsiTheme="minorEastAsia" w:cstheme="minorEastAsia"/>
          <w:color w:val="000000" w:themeColor="text1"/>
          <w:sz w:val="24"/>
          <w14:textFill>
            <w14:solidFill>
              <w14:schemeClr w14:val="tx1"/>
            </w14:solidFill>
          </w14:textFill>
        </w:rPr>
        <w:t>合同编号：琼</w:t>
      </w:r>
      <w:r>
        <w:rPr>
          <w:rFonts w:hint="eastAsia" w:asciiTheme="minorEastAsia" w:hAnsi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cstheme="minorEastAsia"/>
          <w:color w:val="000000" w:themeColor="text1"/>
          <w:sz w:val="24"/>
          <w14:textFill>
            <w14:solidFill>
              <w14:schemeClr w14:val="tx1"/>
            </w14:solidFill>
          </w14:textFill>
        </w:rPr>
        <w:t xml:space="preserve"> 律顾字[        ]第      号 </w:t>
      </w:r>
    </w:p>
    <w:p w14:paraId="393FD212">
      <w:pPr>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w:t>
      </w:r>
    </w:p>
    <w:p w14:paraId="2FC1F060">
      <w:pPr>
        <w:ind w:firstLine="562" w:firstLineChars="200"/>
        <w:rPr>
          <w:rFonts w:hint="default" w:ascii="Times New Roman" w:hAnsi="Times New Roman" w:eastAsia="仿宋_GB2312" w:cs="Times New Roman"/>
          <w:b/>
          <w:bCs/>
          <w:color w:val="000000" w:themeColor="text1"/>
          <w:sz w:val="28"/>
          <w:szCs w:val="28"/>
          <w:lang w:val="en-US" w:eastAsia="zh-CN"/>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聘请方（甲方）：</w:t>
      </w:r>
      <w:r>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t>海口市君成产业服务股份有限公司</w:t>
      </w:r>
    </w:p>
    <w:p w14:paraId="2A8A7536">
      <w:pPr>
        <w:ind w:firstLine="562" w:firstLineChars="200"/>
        <w:rPr>
          <w:rFonts w:hint="eastAsia" w:ascii="Times New Roman" w:hAnsi="Times New Roman" w:eastAsia="仿宋_GB2312" w:cs="Times New Roman"/>
          <w:b/>
          <w:bCs/>
          <w:color w:val="000000" w:themeColor="text1"/>
          <w:sz w:val="28"/>
          <w:szCs w:val="28"/>
          <w:lang w:val="en-US" w:eastAsia="zh-CN"/>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受聘方（乙方）：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p>
    <w:p w14:paraId="4CC9DE21">
      <w:pPr>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 </w:t>
      </w:r>
    </w:p>
    <w:p w14:paraId="690338E5">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根据《中华人民共和国民法典》《中华人民共和国律师法》及其他有关法律的规定，甲方因业务发展和维护自身合法权益的需要，聘请乙方律师作为常年法律顾问。双方按照诚实信用原则，经协商一致，立此合同，共同遵守。 </w:t>
      </w:r>
    </w:p>
    <w:p w14:paraId="5D4A2DDC">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第一条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乙方的服务范围 </w:t>
      </w:r>
    </w:p>
    <w:p w14:paraId="2C84D577">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(一) 协助甲方处理日常法律事务，包括应甲方要求:</w:t>
      </w:r>
    </w:p>
    <w:p w14:paraId="45D318B1">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1.解答法律咨询、依法提供意见与建议,根据甲方要求出具法律意见(包括但不限于合同(协议)、招标文件模板、对外重要发文、疑难问题的法核);</w:t>
      </w:r>
    </w:p>
    <w:p w14:paraId="629E0759">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2.协助甲方起草、修改、审查合同、章程等法律文书，为甲方防范或减少纠纷的发生;</w:t>
      </w:r>
    </w:p>
    <w:p w14:paraId="2784B82D">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3.协助甲方起草、修改、审查内部规章制度，并就甲方的内部管理提供法律咨询服务，增强甲方内部管理的规范性和可操作性;</w:t>
      </w:r>
    </w:p>
    <w:p w14:paraId="0DF1A947">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4.就甲方已经面临或者可能发生的纠纷,进行法律论证,提出解决方案发表律师意见或出具律师函;</w:t>
      </w:r>
    </w:p>
    <w:p w14:paraId="671A2AFF">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5.对公司重要决策和投资计划提供法律意见;</w:t>
      </w:r>
    </w:p>
    <w:p w14:paraId="5B95870A">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6.根据要求协助草拟相关重要文件;</w:t>
      </w:r>
    </w:p>
    <w:p w14:paraId="473B0F58">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7.配合参加相关工作会议，了解服务期内出现的各种问题，并及时提出法律解决方案;</w:t>
      </w:r>
    </w:p>
    <w:p w14:paraId="4DDE7D15">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8.协助甲方进行职工法制培训，讲授法律实务知识，每年至少</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两</w:t>
      </w:r>
      <w:r>
        <w:rPr>
          <w:rFonts w:hint="eastAsia" w:ascii="Times New Roman" w:hAnsi="Times New Roman" w:eastAsia="仿宋_GB2312" w:cs="Times New Roman"/>
          <w:color w:val="000000" w:themeColor="text1"/>
          <w:sz w:val="28"/>
          <w:szCs w:val="28"/>
          <w14:textFill>
            <w14:solidFill>
              <w14:schemeClr w14:val="tx1"/>
            </w14:solidFill>
          </w14:textFill>
        </w:rPr>
        <w:t>次，且不少于2个小时;</w:t>
      </w:r>
    </w:p>
    <w:p w14:paraId="74E4AB86">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9.积极配合甲方落实紧急</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情况、</w:t>
      </w:r>
      <w:r>
        <w:rPr>
          <w:rFonts w:hint="eastAsia" w:ascii="Times New Roman" w:hAnsi="Times New Roman" w:eastAsia="仿宋_GB2312" w:cs="Times New Roman"/>
          <w:color w:val="000000" w:themeColor="text1"/>
          <w:sz w:val="28"/>
          <w:szCs w:val="28"/>
          <w14:textFill>
            <w14:solidFill>
              <w14:schemeClr w14:val="tx1"/>
            </w14:solidFill>
          </w14:textFill>
        </w:rPr>
        <w:t>非工作日、正常工作时间外等特殊情况下</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法律意见</w:t>
      </w:r>
      <w:r>
        <w:rPr>
          <w:rFonts w:hint="eastAsia" w:ascii="Times New Roman" w:hAnsi="Times New Roman" w:eastAsia="仿宋_GB2312" w:cs="Times New Roman"/>
          <w:color w:val="000000" w:themeColor="text1"/>
          <w:sz w:val="28"/>
          <w:szCs w:val="28"/>
          <w14:textFill>
            <w14:solidFill>
              <w14:schemeClr w14:val="tx1"/>
            </w14:solidFill>
          </w14:textFill>
        </w:rPr>
        <w:t>的用印需求;</w:t>
      </w:r>
    </w:p>
    <w:p w14:paraId="0094707C">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10.办理双方商定的其他法律事务</w:t>
      </w:r>
    </w:p>
    <w:p w14:paraId="6086858A">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(二)上述服务范围包括</w:t>
      </w:r>
      <w:r>
        <w:rPr>
          <w:rFonts w:hint="eastAsia" w:ascii="Times New Roman" w:hAnsi="Times New Roman" w:eastAsia="仿宋_GB2312" w:cs="Times New Roman"/>
          <w:color w:val="000000" w:themeColor="text1"/>
          <w:sz w:val="28"/>
          <w:szCs w:val="28"/>
          <w:shd w:val="clear"/>
          <w14:textFill>
            <w14:solidFill>
              <w14:schemeClr w14:val="tx1"/>
            </w14:solidFill>
          </w14:textFill>
        </w:rPr>
        <w:t>甲方</w:t>
      </w:r>
      <w:r>
        <w:rPr>
          <w:rFonts w:hint="eastAsia" w:ascii="Times New Roman" w:hAnsi="Times New Roman" w:eastAsia="仿宋_GB2312" w:cs="Times New Roman"/>
          <w:color w:val="000000" w:themeColor="text1"/>
          <w:sz w:val="28"/>
          <w:szCs w:val="28"/>
          <w:shd w:val="clear"/>
          <w:lang w:eastAsia="zh-CN"/>
          <w14:textFill>
            <w14:solidFill>
              <w14:schemeClr w14:val="tx1"/>
            </w14:solidFill>
          </w14:textFill>
        </w:rPr>
        <w:t>含其他</w:t>
      </w:r>
      <w:r>
        <w:rPr>
          <w:rFonts w:hint="eastAsia" w:ascii="Times New Roman" w:hAnsi="Times New Roman" w:eastAsia="仿宋_GB2312" w:cs="Times New Roman"/>
          <w:color w:val="000000" w:themeColor="text1"/>
          <w:sz w:val="28"/>
          <w:szCs w:val="28"/>
          <w:shd w:val="clear"/>
          <w:lang w:val="en-US" w:eastAsia="zh-CN"/>
          <w14:textFill>
            <w14:solidFill>
              <w14:schemeClr w14:val="tx1"/>
            </w14:solidFill>
          </w14:textFill>
        </w:rPr>
        <w:t>关联</w:t>
      </w:r>
      <w:r>
        <w:rPr>
          <w:rFonts w:hint="eastAsia" w:ascii="Times New Roman" w:hAnsi="Times New Roman" w:eastAsia="仿宋_GB2312" w:cs="Times New Roman"/>
          <w:color w:val="000000" w:themeColor="text1"/>
          <w:sz w:val="28"/>
          <w:szCs w:val="28"/>
          <w:shd w:val="clear"/>
          <w:lang w:eastAsia="zh-CN"/>
          <w14:textFill>
            <w14:solidFill>
              <w14:schemeClr w14:val="tx1"/>
            </w14:solidFill>
          </w14:textFill>
        </w:rPr>
        <w:t>主体授权海口市君成产业服务股份有限公司经营业务</w:t>
      </w:r>
      <w:r>
        <w:rPr>
          <w:rFonts w:hint="eastAsia" w:ascii="Times New Roman" w:hAnsi="Times New Roman" w:eastAsia="仿宋_GB2312" w:cs="Times New Roman"/>
          <w:color w:val="000000" w:themeColor="text1"/>
          <w:sz w:val="28"/>
          <w:szCs w:val="28"/>
          <w14:textFill>
            <w14:solidFill>
              <w14:schemeClr w14:val="tx1"/>
            </w14:solidFill>
          </w14:textFill>
        </w:rPr>
        <w:t>。</w:t>
      </w:r>
    </w:p>
    <w:p w14:paraId="0A1D0F2C">
      <w:pPr>
        <w:snapToGrid w:val="0"/>
        <w:spacing w:line="560" w:lineRule="exact"/>
        <w:ind w:firstLine="560" w:firstLineChars="200"/>
        <w:jc w:val="left"/>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三)上述服务范围不包括涉及民事、行政、刑事等必须进入诉讼或者行政复议、仲裁等程序的代理事务，也不包括涉及投资、融资、企业改制、重组、购并、破产、股票发行、上市及其他重大或重要项目、合同、事项的谈判、论证、审核等专项事务;如甲方需要，由双方另行协商签约。</w:t>
      </w:r>
    </w:p>
    <w:p w14:paraId="157053C5">
      <w:pPr>
        <w:snapToGrid w:val="0"/>
        <w:spacing w:line="560" w:lineRule="exact"/>
        <w:ind w:firstLine="560" w:firstLineChars="200"/>
        <w:jc w:val="left"/>
        <w:rPr>
          <w:rFonts w:ascii="仿宋_GB2312" w:hAnsi="仿宋_GB2312" w:eastAsia="仿宋_GB2312" w:cs="仿宋_GB2312"/>
          <w:b/>
          <w:bCs/>
          <w:spacing w:val="10"/>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14:textFill>
            <w14:solidFill>
              <w14:schemeClr w14:val="tx1"/>
            </w14:solidFill>
          </w14:textFill>
        </w:rPr>
        <w:t>）质量及时间要求：</w:t>
      </w:r>
    </w:p>
    <w:p w14:paraId="7CEF4C28">
      <w:pPr>
        <w:pStyle w:val="2"/>
        <w:wordWrap w:val="0"/>
        <w:topLinePunct/>
        <w:spacing w:line="56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1、质量要求：遵守法律规定，符合律师职业道德和执业纪律规范，以勤勉尽责为底线，凸显专业性，按时保质完成工作并提交工作成果。</w:t>
      </w:r>
    </w:p>
    <w:p w14:paraId="08FD6B7E">
      <w:pPr>
        <w:pStyle w:val="2"/>
        <w:wordWrap w:val="0"/>
        <w:topLinePunct/>
        <w:spacing w:line="56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2、时间要求：</w:t>
      </w:r>
    </w:p>
    <w:p w14:paraId="711DEDC7">
      <w:pPr>
        <w:pStyle w:val="2"/>
        <w:wordWrap w:val="0"/>
        <w:topLinePunct/>
        <w:spacing w:line="56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（1）甲方提供相关文件</w:t>
      </w:r>
      <w:r>
        <w:rPr>
          <w:rFonts w:hint="eastAsia" w:ascii="仿宋_GB2312" w:hAnsi="仿宋_GB2312" w:eastAsia="仿宋_GB2312" w:cs="仿宋_GB2312"/>
          <w:spacing w:val="10"/>
          <w:sz w:val="28"/>
          <w:szCs w:val="28"/>
          <w:lang w:val="en-US" w:eastAsia="zh-CN"/>
        </w:rPr>
        <w:t>资料</w:t>
      </w:r>
      <w:r>
        <w:rPr>
          <w:rFonts w:hint="eastAsia" w:ascii="仿宋_GB2312" w:hAnsi="仿宋_GB2312" w:eastAsia="仿宋_GB2312" w:cs="仿宋_GB2312"/>
          <w:spacing w:val="10"/>
          <w:sz w:val="28"/>
          <w:szCs w:val="28"/>
        </w:rPr>
        <w:t>的，乙方应在</w:t>
      </w:r>
      <w:r>
        <w:rPr>
          <w:rFonts w:hint="eastAsia" w:ascii="仿宋_GB2312" w:hAnsi="仿宋_GB2312" w:eastAsia="仿宋_GB2312" w:cs="仿宋_GB2312"/>
          <w:spacing w:val="10"/>
          <w:sz w:val="28"/>
          <w:szCs w:val="28"/>
          <w:lang w:val="en-US" w:eastAsia="zh-CN"/>
        </w:rPr>
        <w:t>24</w:t>
      </w:r>
      <w:r>
        <w:rPr>
          <w:rFonts w:hint="eastAsia" w:ascii="仿宋_GB2312" w:hAnsi="仿宋_GB2312" w:eastAsia="仿宋_GB2312" w:cs="仿宋_GB2312"/>
          <w:spacing w:val="10"/>
          <w:sz w:val="28"/>
          <w:szCs w:val="28"/>
        </w:rPr>
        <w:t>小时内提交工作成果。</w:t>
      </w:r>
    </w:p>
    <w:p w14:paraId="703F3B1E">
      <w:pPr>
        <w:pStyle w:val="2"/>
        <w:wordWrap w:val="0"/>
        <w:topLinePunct/>
        <w:spacing w:line="560" w:lineRule="exact"/>
        <w:ind w:firstLine="60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（2）甲方以口头形式咨询的，乙方应在24小时内答复。</w:t>
      </w:r>
    </w:p>
    <w:p w14:paraId="2B93218D">
      <w:pPr>
        <w:pStyle w:val="2"/>
        <w:wordWrap w:val="0"/>
        <w:topLinePunct/>
        <w:spacing w:line="560" w:lineRule="exact"/>
        <w:ind w:firstLine="60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仿宋_GB2312" w:hAnsi="仿宋_GB2312" w:eastAsia="仿宋_GB2312" w:cs="仿宋_GB2312"/>
          <w:spacing w:val="10"/>
          <w:sz w:val="28"/>
          <w:szCs w:val="28"/>
        </w:rPr>
        <w:t>（3）紧急情况下，乙方应按甲方的要求</w:t>
      </w:r>
      <w:r>
        <w:rPr>
          <w:rFonts w:hint="eastAsia" w:ascii="仿宋_GB2312" w:hAnsi="仿宋_GB2312" w:eastAsia="仿宋_GB2312" w:cs="仿宋_GB2312"/>
          <w:spacing w:val="10"/>
          <w:sz w:val="28"/>
          <w:szCs w:val="28"/>
          <w:lang w:val="en-US" w:eastAsia="zh-CN"/>
        </w:rPr>
        <w:t>尽快</w:t>
      </w:r>
      <w:r>
        <w:rPr>
          <w:rFonts w:hint="eastAsia" w:ascii="仿宋_GB2312" w:hAnsi="仿宋_GB2312" w:eastAsia="仿宋_GB2312" w:cs="仿宋_GB2312"/>
          <w:spacing w:val="10"/>
          <w:sz w:val="28"/>
          <w:szCs w:val="28"/>
        </w:rPr>
        <w:t>提交工作成果。</w:t>
      </w:r>
      <w:r>
        <w:rPr>
          <w:rFonts w:ascii="Times New Roman" w:hAnsi="Times New Roman" w:eastAsia="仿宋_GB2312" w:cs="Times New Roman"/>
          <w:color w:val="000000" w:themeColor="text1"/>
          <w:sz w:val="28"/>
          <w:szCs w:val="28"/>
          <w14:textFill>
            <w14:solidFill>
              <w14:schemeClr w14:val="tx1"/>
            </w14:solidFill>
          </w14:textFill>
        </w:rPr>
        <w:t xml:space="preserve"> </w:t>
      </w:r>
    </w:p>
    <w:p w14:paraId="5985E026">
      <w:pPr>
        <w:snapToGrid w:val="0"/>
        <w:spacing w:line="560" w:lineRule="exact"/>
        <w:ind w:firstLine="560" w:firstLineChars="200"/>
        <w:jc w:val="left"/>
        <w:rPr>
          <w:rFonts w:ascii="仿宋_GB2312" w:hAnsi="仿宋_GB2312" w:eastAsia="仿宋_GB2312" w:cs="仿宋_GB2312"/>
          <w:b/>
          <w:bCs/>
          <w:spacing w:val="10"/>
          <w:sz w:val="28"/>
          <w:szCs w:val="28"/>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五</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专项法律服务内容</w:t>
      </w:r>
      <w:r>
        <w:rPr>
          <w:rFonts w:hint="eastAsia" w:ascii="仿宋_GB2312" w:hAnsi="仿宋_GB2312" w:eastAsia="仿宋_GB2312" w:cs="仿宋_GB2312"/>
          <w:color w:val="000000" w:themeColor="text1"/>
          <w:sz w:val="28"/>
          <w:szCs w:val="28"/>
          <w14:textFill>
            <w14:solidFill>
              <w14:schemeClr w14:val="tx1"/>
            </w14:solidFill>
          </w14:textFill>
        </w:rPr>
        <w:t>：</w:t>
      </w:r>
    </w:p>
    <w:p w14:paraId="327A79BF">
      <w:pPr>
        <w:pStyle w:val="2"/>
        <w:wordWrap w:val="0"/>
        <w:topLinePunct/>
        <w:spacing w:line="560" w:lineRule="exact"/>
        <w:ind w:firstLine="560" w:firstLineChars="20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具体内容详见附件</w:t>
      </w:r>
      <w:r>
        <w:rPr>
          <w:rFonts w:hint="eastAsia" w:ascii="Times New Roman" w:eastAsia="仿宋_GB2312"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_GB2312" w:cs="Times New Roman"/>
          <w:color w:val="000000" w:themeColor="text1"/>
          <w:sz w:val="28"/>
          <w:szCs w:val="28"/>
          <w14:textFill>
            <w14:solidFill>
              <w14:schemeClr w14:val="tx1"/>
            </w14:solidFill>
          </w14:textFill>
        </w:rPr>
        <w:t>《法务职责说明书》开展工作。</w:t>
      </w:r>
    </w:p>
    <w:p w14:paraId="44C4C214">
      <w:pPr>
        <w:pStyle w:val="2"/>
        <w:numPr>
          <w:ilvl w:val="0"/>
          <w:numId w:val="1"/>
        </w:numPr>
        <w:wordWrap w:val="0"/>
        <w:topLinePunct/>
        <w:spacing w:line="560" w:lineRule="exact"/>
        <w:ind w:firstLine="560" w:firstLineChars="200"/>
        <w:rPr>
          <w:rFonts w:hint="eastAsia" w:ascii="Times New Roman" w:eastAsia="仿宋_GB2312" w:cs="Times New Roman"/>
          <w:color w:val="000000" w:themeColor="text1"/>
          <w:sz w:val="28"/>
          <w:szCs w:val="28"/>
          <w:lang w:eastAsia="zh-CN"/>
          <w14:textFill>
            <w14:solidFill>
              <w14:schemeClr w14:val="tx1"/>
            </w14:solidFill>
          </w14:textFill>
        </w:rPr>
      </w:pPr>
      <w:r>
        <w:rPr>
          <w:rFonts w:hint="eastAsia" w:ascii="Times New Roman" w:eastAsia="仿宋_GB2312" w:cs="Times New Roman"/>
          <w:color w:val="000000" w:themeColor="text1"/>
          <w:sz w:val="28"/>
          <w:szCs w:val="28"/>
          <w:lang w:eastAsia="zh-CN"/>
          <w14:textFill>
            <w14:solidFill>
              <w14:schemeClr w14:val="tx1"/>
            </w14:solidFill>
          </w14:textFill>
        </w:rPr>
        <w:t>法律顾问服务标准</w:t>
      </w:r>
      <w:r>
        <w:rPr>
          <w:rFonts w:hint="eastAsia" w:ascii="Times New Roman" w:eastAsia="仿宋_GB2312" w:cs="Times New Roman"/>
          <w:color w:val="000000" w:themeColor="text1"/>
          <w:sz w:val="28"/>
          <w:szCs w:val="28"/>
          <w:lang w:val="en-US" w:eastAsia="zh-CN"/>
          <w14:textFill>
            <w14:solidFill>
              <w14:schemeClr w14:val="tx1"/>
            </w14:solidFill>
          </w14:textFill>
        </w:rPr>
        <w:t>及</w:t>
      </w:r>
      <w:r>
        <w:rPr>
          <w:rFonts w:ascii="FangSong_GB2312" w:hAnsi="FangSong_GB2312" w:eastAsia="FangSong_GB2312" w:cs="FangSong_GB2312"/>
          <w:spacing w:val="5"/>
          <w:sz w:val="28"/>
          <w:szCs w:val="28"/>
        </w:rPr>
        <w:t>评分标准</w:t>
      </w:r>
    </w:p>
    <w:p w14:paraId="19636C52">
      <w:pPr>
        <w:pStyle w:val="2"/>
        <w:numPr>
          <w:ilvl w:val="-1"/>
          <w:numId w:val="0"/>
        </w:numPr>
        <w:wordWrap w:val="0"/>
        <w:topLinePunct/>
        <w:spacing w:line="560" w:lineRule="exact"/>
        <w:ind w:firstLine="0" w:firstLineChars="0"/>
        <w:rPr>
          <w:rFonts w:hint="default" w:ascii="Times New Roman" w:eastAsia="仿宋_GB2312" w:cs="Times New Roman"/>
          <w:color w:val="000000" w:themeColor="text1"/>
          <w:sz w:val="28"/>
          <w:szCs w:val="28"/>
          <w:highlight w:val="none"/>
          <w:lang w:val="en-US" w:eastAsia="zh-CN"/>
          <w14:textFill>
            <w14:solidFill>
              <w14:schemeClr w14:val="tx1"/>
            </w14:solidFill>
          </w14:textFill>
        </w:rPr>
      </w:pPr>
      <w:r>
        <w:rPr>
          <w:rFonts w:hint="eastAsia" w:ascii="Times New Roman" w:eastAsia="仿宋_GB2312" w:cs="Times New Roman"/>
          <w:color w:val="000000" w:themeColor="text1"/>
          <w:sz w:val="28"/>
          <w:szCs w:val="28"/>
          <w:highlight w:val="none"/>
          <w:lang w:val="en-US" w:eastAsia="zh-CN"/>
          <w14:textFill>
            <w14:solidFill>
              <w14:schemeClr w14:val="tx1"/>
            </w14:solidFill>
          </w14:textFill>
        </w:rPr>
        <w:t xml:space="preserve">     具体内容详见附件2《海口市产业发展投资集团有限公司法律顾问服务标准》。</w:t>
      </w:r>
    </w:p>
    <w:p w14:paraId="13BDBF9F">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第二条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甲方的权利和义务 </w:t>
      </w:r>
    </w:p>
    <w:p w14:paraId="633CFE0E">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（一）甲方应当真实、客观、全面地向乙方提供与常年法律顾问业务有关的各种文件、资料，并介绍有关情况；除紧急事务外，甲方应当提前向常年法律顾问通报，以保证其有合理的准备时间。 </w:t>
      </w:r>
    </w:p>
    <w:p w14:paraId="0128B96B">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（二）甲方应当为常年法律顾问办理法律事务提出明确具体、合法合理的要求；不得要求常年法律顾问进行违法或者有违律师执业规范的活动。 </w:t>
      </w:r>
    </w:p>
    <w:p w14:paraId="78F88C99">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（三）甲方应当依约按时、足额地向乙方支付法律顾问费。 </w:t>
      </w:r>
    </w:p>
    <w:p w14:paraId="52F2CE32">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四）甲方有责任对本合同第一条的有关法律服务事务作出独立的判断和决策，甲方根据常年法律顾问提供的意见、建议、方案所作出的决定，以及因甲方错过各种法定时效而导致的损失，非因常年法律顾问故意或严重过失等失职行为造成的，由甲方自行承担。 </w:t>
      </w:r>
    </w:p>
    <w:p w14:paraId="5965EA75">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（五）甲方有权要求乙方及时更换在服务过程中工作不负责任、或不适合办理甲方委托的法律事务的乙方律师担任常年法律顾问，但甲方提出此要求的理由应充分、合理。</w:t>
      </w:r>
      <w:r>
        <w:rPr>
          <w:rFonts w:hint="eastAsia" w:ascii="Times New Roman" w:hAnsi="Times New Roman" w:eastAsia="仿宋_GB2312" w:cs="Times New Roman"/>
          <w:color w:val="000000" w:themeColor="text1"/>
          <w:sz w:val="28"/>
          <w:szCs w:val="28"/>
          <w14:textFill>
            <w14:solidFill>
              <w14:schemeClr w14:val="tx1"/>
            </w14:solidFill>
          </w14:textFill>
        </w:rPr>
        <w:t>经两次更换后仍不能满足甲方要求的，甲方有权解除合同，乙方已收取的费用应予减免退还，未收取的费用甲方不再支付。</w:t>
      </w:r>
    </w:p>
    <w:p w14:paraId="6537AE97">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（六）甲方有权要求乙方复印与常年法律顾问工作相关的材料，但法律法规和律师执业规范规定应当保密的材料除外。 </w:t>
      </w:r>
    </w:p>
    <w:p w14:paraId="11536947">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第三条</w:t>
      </w:r>
      <w:r>
        <w:rPr>
          <w:rFonts w:hint="eastAsia" w:ascii="Times New Roman" w:hAnsi="Times New Roman" w:eastAsia="仿宋_GB2312" w:cs="Times New Roman"/>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乙方的权利和义务 </w:t>
      </w:r>
    </w:p>
    <w:p w14:paraId="26A2401E">
      <w:pPr>
        <w:keepNext w:val="0"/>
        <w:keepLines w:val="0"/>
        <w:pageBreakBefore w:val="0"/>
        <w:widowControl w:val="0"/>
        <w:tabs>
          <w:tab w:val="left" w:pos="4483"/>
        </w:tabs>
        <w:kinsoku/>
        <w:wordWrap/>
        <w:overflowPunct/>
        <w:topLinePunct w:val="0"/>
        <w:autoSpaceDE w:val="0"/>
        <w:autoSpaceDN w:val="0"/>
        <w:bidi w:val="0"/>
        <w:spacing w:line="560" w:lineRule="exact"/>
        <w:ind w:left="0" w:right="0" w:firstLine="560" w:firstLineChars="200"/>
        <w:jc w:val="both"/>
        <w:textAlignment w:val="auto"/>
        <w:rPr>
          <w:rFonts w:ascii="Times New Roman" w:hAnsi="Times New Roman" w:eastAsia="仿宋_GB2312" w:cs="Times New Roman"/>
          <w:sz w:val="28"/>
          <w:szCs w:val="28"/>
          <w:lang w:val="zh-CN" w:eastAsia="zh-CN" w:bidi="zh-CN"/>
        </w:rPr>
      </w:pPr>
      <w:r>
        <w:rPr>
          <w:rFonts w:ascii="Times New Roman" w:hAnsi="Times New Roman" w:eastAsia="仿宋_GB2312" w:cs="Times New Roman"/>
          <w:color w:val="000000" w:themeColor="text1"/>
          <w:sz w:val="28"/>
          <w:szCs w:val="28"/>
          <w14:textFill>
            <w14:solidFill>
              <w14:schemeClr w14:val="tx1"/>
            </w14:solidFill>
          </w14:textFill>
        </w:rPr>
        <w:t>（一）乙方指派</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sz w:val="28"/>
          <w:szCs w:val="28"/>
          <w:u w:val="single"/>
          <w:lang w:val="en-US" w:bidi="zh-CN"/>
        </w:rPr>
        <w:t xml:space="preserve">     </w:t>
      </w:r>
      <w:r>
        <w:rPr>
          <w:rFonts w:ascii="Times New Roman" w:hAnsi="Times New Roman" w:eastAsia="仿宋_GB2312" w:cs="Times New Roman"/>
          <w:color w:val="000000" w:themeColor="text1"/>
          <w:sz w:val="28"/>
          <w:szCs w:val="28"/>
          <w14:textFill>
            <w14:solidFill>
              <w14:schemeClr w14:val="tx1"/>
            </w14:solidFill>
          </w14:textFill>
        </w:rPr>
        <w:t>律师作为甲方常年法律顾问</w:t>
      </w:r>
      <w:r>
        <w:rPr>
          <w:rFonts w:hint="eastAsia" w:ascii="Times New Roman" w:hAnsi="Times New Roman" w:eastAsia="仿宋_GB2312" w:cs="Times New Roman"/>
          <w:color w:val="000000" w:themeColor="text1"/>
          <w:sz w:val="28"/>
          <w:szCs w:val="28"/>
          <w14:textFill>
            <w14:solidFill>
              <w14:schemeClr w14:val="tx1"/>
            </w14:solidFill>
          </w14:textFill>
        </w:rPr>
        <w:t>，</w:t>
      </w:r>
      <w:r>
        <w:rPr>
          <w:rFonts w:hint="eastAsia" w:ascii="Times New Roman" w:hAnsi="Times New Roman" w:eastAsia="仿宋_GB2312" w:cs="Times New Roman"/>
          <w:sz w:val="28"/>
          <w:szCs w:val="28"/>
          <w:lang w:val="zh-CN" w:bidi="zh-CN"/>
        </w:rPr>
        <w:t>由</w:t>
      </w:r>
      <w:r>
        <w:rPr>
          <w:rFonts w:hint="eastAsia" w:ascii="Times New Roman" w:hAnsi="Times New Roman" w:eastAsia="仿宋_GB2312" w:cs="Times New Roman"/>
          <w:sz w:val="28"/>
          <w:szCs w:val="28"/>
          <w:u w:val="single"/>
          <w:lang w:bidi="zh-CN"/>
        </w:rPr>
        <w:t xml:space="preserve"> </w:t>
      </w:r>
      <w:r>
        <w:rPr>
          <w:rFonts w:hint="eastAsia" w:ascii="Times New Roman" w:hAnsi="Times New Roman" w:eastAsia="仿宋_GB2312" w:cs="Times New Roman"/>
          <w:sz w:val="28"/>
          <w:szCs w:val="28"/>
          <w:u w:val="single"/>
          <w:lang w:val="en-US" w:bidi="zh-CN"/>
        </w:rPr>
        <w:t xml:space="preserve">  </w:t>
      </w:r>
      <w:r>
        <w:rPr>
          <w:rFonts w:hint="eastAsia" w:ascii="Times New Roman" w:hAnsi="Times New Roman" w:eastAsia="仿宋_GB2312" w:cs="Times New Roman"/>
          <w:sz w:val="28"/>
          <w:szCs w:val="28"/>
          <w:u w:val="single"/>
          <w:lang w:bidi="zh-CN"/>
        </w:rPr>
        <w:t xml:space="preserve"> </w:t>
      </w:r>
      <w:r>
        <w:rPr>
          <w:rFonts w:ascii="Times New Roman" w:hAnsi="Times New Roman" w:eastAsia="仿宋_GB2312" w:cs="Times New Roman"/>
          <w:sz w:val="28"/>
          <w:szCs w:val="28"/>
          <w:lang w:val="zh-CN" w:bidi="zh-CN"/>
        </w:rPr>
        <w:t>作为项目负责人</w:t>
      </w:r>
      <w:r>
        <w:rPr>
          <w:rFonts w:hint="eastAsia" w:ascii="Times New Roman" w:hAnsi="Times New Roman" w:eastAsia="仿宋_GB2312" w:cs="Times New Roman"/>
          <w:sz w:val="28"/>
          <w:szCs w:val="28"/>
          <w:lang w:val="zh-CN" w:bidi="zh-CN"/>
        </w:rPr>
        <w:t>。</w:t>
      </w:r>
      <w:r>
        <w:rPr>
          <w:rFonts w:ascii="Times New Roman" w:hAnsi="Times New Roman" w:eastAsia="仿宋_GB2312" w:cs="Times New Roman"/>
          <w:color w:val="000000" w:themeColor="text1"/>
          <w:sz w:val="28"/>
          <w:szCs w:val="28"/>
          <w14:textFill>
            <w14:solidFill>
              <w14:schemeClr w14:val="tx1"/>
            </w14:solidFill>
          </w14:textFill>
        </w:rPr>
        <w:t>乙方指派的律师因故不能履行职务时，由乙方另行指派律师，经甲方</w:t>
      </w:r>
      <w:r>
        <w:rPr>
          <w:rFonts w:hint="eastAsia" w:ascii="Times New Roman" w:hAnsi="Times New Roman" w:eastAsia="仿宋_GB2312" w:cs="Times New Roman"/>
          <w:color w:val="000000" w:themeColor="text1"/>
          <w:sz w:val="28"/>
          <w:szCs w:val="28"/>
          <w14:textFill>
            <w14:solidFill>
              <w14:schemeClr w14:val="tx1"/>
            </w14:solidFill>
          </w14:textFill>
        </w:rPr>
        <w:t>书面</w:t>
      </w:r>
      <w:r>
        <w:rPr>
          <w:rFonts w:ascii="Times New Roman" w:hAnsi="Times New Roman" w:eastAsia="仿宋_GB2312" w:cs="Times New Roman"/>
          <w:color w:val="000000" w:themeColor="text1"/>
          <w:sz w:val="28"/>
          <w:szCs w:val="28"/>
          <w14:textFill>
            <w14:solidFill>
              <w14:schemeClr w14:val="tx1"/>
            </w14:solidFill>
          </w14:textFill>
        </w:rPr>
        <w:t xml:space="preserve">确认后，继续完成本合同约定的法律顾问工作。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乙方</w:t>
      </w:r>
      <w:r>
        <w:rPr>
          <w:rFonts w:ascii="Times New Roman" w:hAnsi="Times New Roman" w:eastAsia="仿宋_GB2312" w:cs="Times New Roman"/>
          <w:sz w:val="28"/>
          <w:szCs w:val="28"/>
          <w:lang w:val="zh-CN" w:eastAsia="zh-CN" w:bidi="zh-CN"/>
        </w:rPr>
        <w:t>指派</w:t>
      </w:r>
      <w:r>
        <w:rPr>
          <w:rFonts w:hint="eastAsia" w:ascii="Times New Roman" w:hAnsi="Times New Roman" w:eastAsia="仿宋_GB2312" w:cs="Times New Roman"/>
          <w:sz w:val="28"/>
          <w:szCs w:val="28"/>
          <w:lang w:val="en-US" w:eastAsia="zh-CN" w:bidi="zh-CN"/>
        </w:rPr>
        <w:t xml:space="preserve">              </w:t>
      </w:r>
      <w:r>
        <w:rPr>
          <w:rFonts w:hint="eastAsia" w:ascii="Times New Roman" w:hAnsi="Times New Roman" w:cs="Times New Roman"/>
          <w:sz w:val="28"/>
          <w:szCs w:val="28"/>
          <w:u w:val="single"/>
          <w:lang w:val="en-US" w:eastAsia="zh-CN" w:bidi="zh-CN"/>
        </w:rPr>
        <w:t xml:space="preserve">             </w:t>
      </w:r>
      <w:r>
        <w:rPr>
          <w:rFonts w:hint="eastAsia" w:ascii="Times New Roman" w:hAnsi="Times New Roman" w:eastAsia="仿宋_GB2312" w:cs="Times New Roman"/>
          <w:sz w:val="28"/>
          <w:szCs w:val="28"/>
          <w:u w:val="single"/>
          <w:lang w:val="en-US" w:eastAsia="zh-CN" w:bidi="zh-CN"/>
        </w:rPr>
        <w:t xml:space="preserve">  </w:t>
      </w:r>
      <w:r>
        <w:rPr>
          <w:rFonts w:ascii="Times New Roman" w:hAnsi="Times New Roman" w:eastAsia="仿宋_GB2312" w:cs="Times New Roman"/>
          <w:sz w:val="28"/>
          <w:szCs w:val="28"/>
          <w:lang w:val="zh-CN" w:eastAsia="zh-CN" w:bidi="zh-CN"/>
        </w:rPr>
        <w:t>律师</w:t>
      </w:r>
      <w:r>
        <w:rPr>
          <w:rFonts w:hint="eastAsia" w:ascii="Times New Roman" w:hAnsi="Times New Roman" w:eastAsia="仿宋_GB2312" w:cs="Times New Roman"/>
          <w:sz w:val="28"/>
          <w:szCs w:val="28"/>
          <w:lang w:val="en-US" w:eastAsia="zh-CN" w:bidi="zh-CN"/>
        </w:rPr>
        <w:t>作</w:t>
      </w:r>
      <w:r>
        <w:rPr>
          <w:rFonts w:ascii="Times New Roman" w:hAnsi="Times New Roman" w:eastAsia="仿宋_GB2312" w:cs="Times New Roman"/>
          <w:sz w:val="28"/>
          <w:szCs w:val="28"/>
          <w:lang w:val="zh-CN" w:eastAsia="zh-CN" w:bidi="zh-CN"/>
        </w:rPr>
        <w:t>为甲方</w:t>
      </w:r>
      <w:r>
        <w:rPr>
          <w:rFonts w:hint="eastAsia" w:ascii="Times New Roman" w:hAnsi="Times New Roman" w:cs="Times New Roman"/>
          <w:sz w:val="28"/>
          <w:szCs w:val="28"/>
          <w:lang w:val="en-US" w:eastAsia="zh-CN" w:bidi="zh-CN"/>
        </w:rPr>
        <w:t>专项法律</w:t>
      </w:r>
      <w:r>
        <w:rPr>
          <w:rFonts w:ascii="Times New Roman" w:hAnsi="Times New Roman" w:eastAsia="仿宋_GB2312" w:cs="Times New Roman"/>
          <w:sz w:val="28"/>
          <w:szCs w:val="28"/>
          <w:lang w:val="zh-CN" w:eastAsia="zh-CN" w:bidi="zh-CN"/>
        </w:rPr>
        <w:t>服务</w:t>
      </w:r>
      <w:r>
        <w:rPr>
          <w:rFonts w:hint="eastAsia" w:ascii="Times New Roman" w:hAnsi="Times New Roman" w:eastAsia="仿宋_GB2312" w:cs="Times New Roman"/>
          <w:sz w:val="28"/>
          <w:szCs w:val="28"/>
          <w:lang w:val="zh-CN" w:eastAsia="zh-CN" w:bidi="zh-CN"/>
        </w:rPr>
        <w:t>，该</w:t>
      </w:r>
      <w:r>
        <w:rPr>
          <w:rFonts w:hint="eastAsia" w:ascii="Times New Roman" w:hAnsi="Times New Roman" w:eastAsia="仿宋_GB2312" w:cs="Times New Roman"/>
          <w:sz w:val="28"/>
          <w:szCs w:val="28"/>
          <w:lang w:val="en-US" w:eastAsia="zh-CN" w:bidi="zh-CN"/>
        </w:rPr>
        <w:t>律师</w:t>
      </w:r>
      <w:r>
        <w:rPr>
          <w:rFonts w:hint="eastAsia" w:ascii="Times New Roman" w:hAnsi="Times New Roman" w:eastAsia="仿宋_GB2312" w:cs="Times New Roman"/>
          <w:sz w:val="28"/>
          <w:szCs w:val="28"/>
          <w:lang w:val="zh-CN" w:eastAsia="zh-CN" w:bidi="zh-CN"/>
        </w:rPr>
        <w:t>需具备丰富的工作经验，尤其要有企业工作经验，国企工作经验者将优先考虑，以便更好地贴合贵公司实际需求。</w:t>
      </w:r>
      <w:r>
        <w:rPr>
          <w:rFonts w:ascii="Times New Roman" w:hAnsi="Times New Roman" w:eastAsia="仿宋_GB2312" w:cs="Times New Roman"/>
          <w:spacing w:val="0"/>
          <w:sz w:val="28"/>
          <w:szCs w:val="28"/>
          <w:lang w:val="zh-CN" w:eastAsia="zh-CN" w:bidi="zh-CN"/>
        </w:rPr>
        <w:t>指派律师因</w:t>
      </w:r>
      <w:r>
        <w:rPr>
          <w:rFonts w:ascii="Times New Roman" w:hAnsi="Times New Roman" w:eastAsia="仿宋_GB2312" w:cs="Times New Roman"/>
          <w:sz w:val="28"/>
          <w:szCs w:val="28"/>
          <w:lang w:val="zh-CN" w:eastAsia="zh-CN" w:bidi="zh-CN"/>
        </w:rPr>
        <w:t>故</w:t>
      </w:r>
      <w:r>
        <w:rPr>
          <w:rFonts w:ascii="Times New Roman" w:hAnsi="Times New Roman" w:eastAsia="仿宋_GB2312" w:cs="Times New Roman"/>
          <w:spacing w:val="0"/>
          <w:sz w:val="28"/>
          <w:szCs w:val="28"/>
          <w:lang w:val="zh-CN" w:eastAsia="zh-CN" w:bidi="zh-CN"/>
        </w:rPr>
        <w:t>不</w:t>
      </w:r>
      <w:r>
        <w:rPr>
          <w:rFonts w:ascii="Times New Roman" w:hAnsi="Times New Roman" w:eastAsia="仿宋_GB2312" w:cs="Times New Roman"/>
          <w:sz w:val="28"/>
          <w:szCs w:val="28"/>
          <w:lang w:val="zh-CN" w:eastAsia="zh-CN" w:bidi="zh-CN"/>
        </w:rPr>
        <w:t>能履</w:t>
      </w:r>
      <w:r>
        <w:rPr>
          <w:rFonts w:ascii="Times New Roman" w:hAnsi="Times New Roman" w:eastAsia="仿宋_GB2312" w:cs="Times New Roman"/>
          <w:spacing w:val="0"/>
          <w:sz w:val="28"/>
          <w:szCs w:val="28"/>
          <w:lang w:val="zh-CN" w:eastAsia="zh-CN" w:bidi="zh-CN"/>
        </w:rPr>
        <w:t>行职</w:t>
      </w:r>
      <w:r>
        <w:rPr>
          <w:rFonts w:ascii="Times New Roman" w:hAnsi="Times New Roman" w:eastAsia="仿宋_GB2312" w:cs="Times New Roman"/>
          <w:sz w:val="28"/>
          <w:szCs w:val="28"/>
          <w:lang w:val="zh-CN" w:eastAsia="zh-CN" w:bidi="zh-CN"/>
        </w:rPr>
        <w:t>务时</w:t>
      </w:r>
      <w:r>
        <w:rPr>
          <w:rFonts w:ascii="Times New Roman" w:hAnsi="Times New Roman" w:eastAsia="仿宋_GB2312" w:cs="Times New Roman"/>
          <w:spacing w:val="0"/>
          <w:sz w:val="28"/>
          <w:szCs w:val="28"/>
          <w:lang w:val="zh-CN" w:eastAsia="zh-CN" w:bidi="zh-CN"/>
        </w:rPr>
        <w:t>，</w:t>
      </w:r>
      <w:r>
        <w:rPr>
          <w:rFonts w:ascii="Times New Roman" w:hAnsi="Times New Roman" w:eastAsia="仿宋_GB2312" w:cs="Times New Roman"/>
          <w:sz w:val="28"/>
          <w:szCs w:val="28"/>
          <w:lang w:val="zh-CN" w:eastAsia="zh-CN" w:bidi="zh-CN"/>
        </w:rPr>
        <w:t>由</w:t>
      </w:r>
      <w:r>
        <w:rPr>
          <w:rFonts w:ascii="Times New Roman" w:hAnsi="Times New Roman" w:eastAsia="仿宋_GB2312" w:cs="Times New Roman"/>
          <w:spacing w:val="0"/>
          <w:sz w:val="28"/>
          <w:szCs w:val="28"/>
          <w:lang w:val="zh-CN" w:eastAsia="zh-CN" w:bidi="zh-CN"/>
        </w:rPr>
        <w:t>乙</w:t>
      </w:r>
      <w:r>
        <w:rPr>
          <w:rFonts w:ascii="Times New Roman" w:hAnsi="Times New Roman" w:eastAsia="仿宋_GB2312" w:cs="Times New Roman"/>
          <w:sz w:val="28"/>
          <w:szCs w:val="28"/>
          <w:lang w:val="zh-CN" w:eastAsia="zh-CN" w:bidi="zh-CN"/>
        </w:rPr>
        <w:t>方另</w:t>
      </w:r>
      <w:r>
        <w:rPr>
          <w:rFonts w:ascii="Times New Roman" w:hAnsi="Times New Roman" w:eastAsia="仿宋_GB2312" w:cs="Times New Roman"/>
          <w:spacing w:val="0"/>
          <w:sz w:val="28"/>
          <w:szCs w:val="28"/>
          <w:lang w:val="zh-CN" w:eastAsia="zh-CN" w:bidi="zh-CN"/>
        </w:rPr>
        <w:t>行</w:t>
      </w:r>
      <w:r>
        <w:rPr>
          <w:rFonts w:ascii="Times New Roman" w:hAnsi="Times New Roman" w:eastAsia="仿宋_GB2312" w:cs="Times New Roman"/>
          <w:sz w:val="28"/>
          <w:szCs w:val="28"/>
          <w:lang w:val="zh-CN" w:eastAsia="zh-CN" w:bidi="zh-CN"/>
        </w:rPr>
        <w:t>指派律师</w:t>
      </w:r>
      <w:r>
        <w:rPr>
          <w:rFonts w:ascii="Times New Roman" w:hAnsi="Times New Roman" w:eastAsia="仿宋_GB2312" w:cs="Times New Roman"/>
          <w:spacing w:val="0"/>
          <w:sz w:val="28"/>
          <w:szCs w:val="28"/>
          <w:lang w:val="zh-CN" w:eastAsia="zh-CN" w:bidi="zh-CN"/>
        </w:rPr>
        <w:t>，</w:t>
      </w:r>
      <w:r>
        <w:rPr>
          <w:rFonts w:ascii="Times New Roman" w:hAnsi="Times New Roman" w:eastAsia="仿宋_GB2312" w:cs="Times New Roman"/>
          <w:sz w:val="28"/>
          <w:szCs w:val="28"/>
          <w:lang w:val="zh-CN" w:eastAsia="zh-CN" w:bidi="zh-CN"/>
        </w:rPr>
        <w:t>经甲</w:t>
      </w:r>
      <w:r>
        <w:rPr>
          <w:rFonts w:ascii="Times New Roman" w:hAnsi="Times New Roman" w:eastAsia="仿宋_GB2312" w:cs="Times New Roman"/>
          <w:spacing w:val="0"/>
          <w:sz w:val="28"/>
          <w:szCs w:val="28"/>
          <w:lang w:val="zh-CN" w:eastAsia="zh-CN" w:bidi="zh-CN"/>
        </w:rPr>
        <w:t>方确</w:t>
      </w:r>
      <w:r>
        <w:rPr>
          <w:rFonts w:ascii="Times New Roman" w:hAnsi="Times New Roman" w:eastAsia="仿宋_GB2312" w:cs="Times New Roman"/>
          <w:sz w:val="28"/>
          <w:szCs w:val="28"/>
          <w:lang w:val="zh-CN" w:eastAsia="zh-CN" w:bidi="zh-CN"/>
        </w:rPr>
        <w:t>认并重</w:t>
      </w:r>
      <w:r>
        <w:rPr>
          <w:rFonts w:ascii="Times New Roman" w:hAnsi="Times New Roman" w:eastAsia="仿宋_GB2312" w:cs="Times New Roman"/>
          <w:spacing w:val="0"/>
          <w:sz w:val="28"/>
          <w:szCs w:val="28"/>
          <w:lang w:val="zh-CN" w:eastAsia="zh-CN" w:bidi="zh-CN"/>
        </w:rPr>
        <w:t>新</w:t>
      </w:r>
      <w:r>
        <w:rPr>
          <w:rFonts w:ascii="Times New Roman" w:hAnsi="Times New Roman" w:eastAsia="仿宋_GB2312" w:cs="Times New Roman"/>
          <w:sz w:val="28"/>
          <w:szCs w:val="28"/>
          <w:lang w:val="zh-CN" w:eastAsia="zh-CN" w:bidi="zh-CN"/>
        </w:rPr>
        <w:t>出具</w:t>
      </w:r>
      <w:r>
        <w:rPr>
          <w:rFonts w:ascii="Times New Roman" w:hAnsi="Times New Roman" w:eastAsia="仿宋_GB2312" w:cs="Times New Roman"/>
          <w:spacing w:val="0"/>
          <w:sz w:val="28"/>
          <w:szCs w:val="28"/>
          <w:lang w:val="zh-CN" w:eastAsia="zh-CN" w:bidi="zh-CN"/>
        </w:rPr>
        <w:t>授权</w:t>
      </w:r>
      <w:r>
        <w:rPr>
          <w:rFonts w:ascii="Times New Roman" w:hAnsi="Times New Roman" w:eastAsia="仿宋_GB2312" w:cs="Times New Roman"/>
          <w:sz w:val="28"/>
          <w:szCs w:val="28"/>
          <w:lang w:val="zh-CN" w:eastAsia="zh-CN" w:bidi="zh-CN"/>
        </w:rPr>
        <w:t>委托书</w:t>
      </w:r>
      <w:r>
        <w:rPr>
          <w:rFonts w:ascii="Times New Roman" w:hAnsi="Times New Roman" w:eastAsia="仿宋_GB2312" w:cs="Times New Roman"/>
          <w:spacing w:val="0"/>
          <w:sz w:val="28"/>
          <w:szCs w:val="28"/>
          <w:lang w:val="zh-CN" w:eastAsia="zh-CN" w:bidi="zh-CN"/>
        </w:rPr>
        <w:t>后</w:t>
      </w:r>
      <w:r>
        <w:rPr>
          <w:rFonts w:ascii="Times New Roman" w:hAnsi="Times New Roman" w:eastAsia="仿宋_GB2312" w:cs="Times New Roman"/>
          <w:sz w:val="28"/>
          <w:szCs w:val="28"/>
          <w:lang w:val="zh-CN" w:eastAsia="zh-CN" w:bidi="zh-CN"/>
        </w:rPr>
        <w:t>，继</w:t>
      </w:r>
      <w:r>
        <w:rPr>
          <w:rFonts w:ascii="Times New Roman" w:hAnsi="Times New Roman" w:eastAsia="仿宋_GB2312" w:cs="Times New Roman"/>
          <w:spacing w:val="0"/>
          <w:sz w:val="28"/>
          <w:szCs w:val="28"/>
          <w:lang w:val="zh-CN" w:eastAsia="zh-CN" w:bidi="zh-CN"/>
        </w:rPr>
        <w:t>续完</w:t>
      </w:r>
      <w:r>
        <w:rPr>
          <w:rFonts w:ascii="Times New Roman" w:hAnsi="Times New Roman" w:eastAsia="仿宋_GB2312" w:cs="Times New Roman"/>
          <w:sz w:val="28"/>
          <w:szCs w:val="28"/>
          <w:lang w:val="zh-CN" w:eastAsia="zh-CN" w:bidi="zh-CN"/>
        </w:rPr>
        <w:t>成本合</w:t>
      </w:r>
      <w:r>
        <w:rPr>
          <w:rFonts w:ascii="Times New Roman" w:hAnsi="Times New Roman" w:eastAsia="仿宋_GB2312" w:cs="Times New Roman"/>
          <w:spacing w:val="0"/>
          <w:sz w:val="28"/>
          <w:szCs w:val="28"/>
          <w:lang w:val="zh-CN" w:eastAsia="zh-CN" w:bidi="zh-CN"/>
        </w:rPr>
        <w:t>同</w:t>
      </w:r>
      <w:r>
        <w:rPr>
          <w:rFonts w:ascii="Times New Roman" w:hAnsi="Times New Roman" w:eastAsia="仿宋_GB2312" w:cs="Times New Roman"/>
          <w:sz w:val="28"/>
          <w:szCs w:val="28"/>
          <w:lang w:val="zh-CN" w:eastAsia="zh-CN" w:bidi="zh-CN"/>
        </w:rPr>
        <w:t>约定</w:t>
      </w:r>
      <w:r>
        <w:rPr>
          <w:rFonts w:ascii="Times New Roman" w:hAnsi="Times New Roman" w:eastAsia="仿宋_GB2312" w:cs="Times New Roman"/>
          <w:spacing w:val="0"/>
          <w:sz w:val="28"/>
          <w:szCs w:val="28"/>
          <w:lang w:val="zh-CN" w:eastAsia="zh-CN" w:bidi="zh-CN"/>
        </w:rPr>
        <w:t>的委</w:t>
      </w:r>
      <w:r>
        <w:rPr>
          <w:rFonts w:ascii="Times New Roman" w:hAnsi="Times New Roman" w:eastAsia="仿宋_GB2312" w:cs="Times New Roman"/>
          <w:sz w:val="28"/>
          <w:szCs w:val="28"/>
          <w:lang w:val="zh-CN" w:eastAsia="zh-CN" w:bidi="zh-CN"/>
        </w:rPr>
        <w:t>托事务</w:t>
      </w:r>
      <w:r>
        <w:rPr>
          <w:rFonts w:hint="default" w:ascii="Times New Roman" w:hAnsi="Times New Roman" w:eastAsia="仿宋_GB2312" w:cs="Times New Roman"/>
          <w:sz w:val="28"/>
          <w:szCs w:val="28"/>
          <w:lang w:val="zh-CN" w:eastAsia="zh-CN" w:bidi="zh-CN"/>
        </w:rPr>
        <w:t>；坐班律师因故不能坐班，需指派其他律师临时替补坐班并确保将工作妥善安排，不得影响甲方工作</w:t>
      </w:r>
      <w:r>
        <w:rPr>
          <w:rFonts w:ascii="Times New Roman" w:hAnsi="Times New Roman" w:eastAsia="仿宋_GB2312" w:cs="Times New Roman"/>
          <w:sz w:val="28"/>
          <w:szCs w:val="28"/>
          <w:lang w:val="zh-CN" w:eastAsia="zh-CN" w:bidi="zh-CN"/>
        </w:rPr>
        <w:t>。</w:t>
      </w:r>
    </w:p>
    <w:p w14:paraId="3B0FC18D">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（二）</w:t>
      </w:r>
      <w:r>
        <w:rPr>
          <w:rFonts w:hint="eastAsia" w:ascii="Times New Roman" w:hAnsi="Times New Roman" w:eastAsia="仿宋_GB2312" w:cs="Times New Roman"/>
          <w:color w:val="000000" w:themeColor="text1"/>
          <w:sz w:val="28"/>
          <w:szCs w:val="28"/>
          <w14:textFill>
            <w14:solidFill>
              <w14:schemeClr w14:val="tx1"/>
            </w14:solidFill>
          </w14:textFill>
        </w:rPr>
        <w:t>乙方</w:t>
      </w:r>
      <w:r>
        <w:rPr>
          <w:rFonts w:ascii="Times New Roman" w:hAnsi="Times New Roman" w:eastAsia="仿宋_GB2312" w:cs="Times New Roman"/>
          <w:color w:val="000000" w:themeColor="text1"/>
          <w:sz w:val="28"/>
          <w:szCs w:val="28"/>
          <w14:textFill>
            <w14:solidFill>
              <w14:schemeClr w14:val="tx1"/>
            </w14:solidFill>
          </w14:textFill>
        </w:rPr>
        <w:t xml:space="preserve">应当依法依理、勤勉尽责地完成本合同第一条第（一）项所列的法律事务，切实维护甲方的合法权益。 </w:t>
      </w:r>
    </w:p>
    <w:p w14:paraId="036F2E48">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（三）</w:t>
      </w:r>
      <w:r>
        <w:rPr>
          <w:rFonts w:hint="eastAsia" w:ascii="Times New Roman" w:hAnsi="Times New Roman" w:eastAsia="仿宋_GB2312" w:cs="Times New Roman"/>
          <w:color w:val="000000" w:themeColor="text1"/>
          <w:sz w:val="28"/>
          <w:szCs w:val="28"/>
          <w14:textFill>
            <w14:solidFill>
              <w14:schemeClr w14:val="tx1"/>
            </w14:solidFill>
          </w14:textFill>
        </w:rPr>
        <w:t>乙方</w:t>
      </w:r>
      <w:r>
        <w:rPr>
          <w:rFonts w:ascii="Times New Roman" w:hAnsi="Times New Roman" w:eastAsia="仿宋_GB2312" w:cs="Times New Roman"/>
          <w:color w:val="000000" w:themeColor="text1"/>
          <w:sz w:val="28"/>
          <w:szCs w:val="28"/>
          <w14:textFill>
            <w14:solidFill>
              <w14:schemeClr w14:val="tx1"/>
            </w14:solidFill>
          </w14:textFill>
        </w:rPr>
        <w:t>应当在获得甲方提供的相关文件资料及其他必须的工作条件后，及时完成服务工作，并应甲方要求通报工作进程。</w:t>
      </w:r>
      <w:r>
        <w:rPr>
          <w:rFonts w:hint="eastAsia" w:ascii="Times New Roman" w:hAnsi="Times New Roman" w:eastAsia="仿宋_GB2312" w:cs="Times New Roman"/>
          <w:color w:val="000000" w:themeColor="text1"/>
          <w:sz w:val="28"/>
          <w:szCs w:val="28"/>
          <w14:textFill>
            <w14:solidFill>
              <w14:schemeClr w14:val="tx1"/>
            </w14:solidFill>
          </w14:textFill>
        </w:rPr>
        <w:t>乙方提供的服务成果达不到合同要求的，应免费无条件完善、修改。</w:t>
      </w:r>
    </w:p>
    <w:p w14:paraId="36FE445C">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（四）常年法律顾问对获知的甲方商业秘密或个人隐私负有保密责任，非因法律规定或者甲方同意，不得向任何第三方披露。但以下内容除外： </w:t>
      </w:r>
    </w:p>
    <w:p w14:paraId="6B38A536">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1.</w:t>
      </w:r>
      <w:r>
        <w:rPr>
          <w:rFonts w:ascii="Times New Roman" w:hAnsi="Times New Roman" w:eastAsia="仿宋_GB2312" w:cs="Times New Roman"/>
          <w:color w:val="000000" w:themeColor="text1"/>
          <w:sz w:val="28"/>
          <w:szCs w:val="28"/>
          <w14:textFill>
            <w14:solidFill>
              <w14:schemeClr w14:val="tx1"/>
            </w14:solidFill>
          </w14:textFill>
        </w:rPr>
        <w:t xml:space="preserve">刑事犯罪证据； </w:t>
      </w:r>
    </w:p>
    <w:p w14:paraId="74095856">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2、可以公开查阅或取得的信息和资料； </w:t>
      </w:r>
    </w:p>
    <w:p w14:paraId="069E7D07">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3.</w:t>
      </w:r>
      <w:r>
        <w:rPr>
          <w:rFonts w:ascii="Times New Roman" w:hAnsi="Times New Roman" w:eastAsia="仿宋_GB2312" w:cs="Times New Roman"/>
          <w:color w:val="000000" w:themeColor="text1"/>
          <w:sz w:val="28"/>
          <w:szCs w:val="28"/>
          <w14:textFill>
            <w14:solidFill>
              <w14:schemeClr w14:val="tx1"/>
            </w14:solidFill>
          </w14:textFill>
        </w:rPr>
        <w:t xml:space="preserve">为履行本合同所约定的服务必须进行的工作。 </w:t>
      </w:r>
    </w:p>
    <w:p w14:paraId="34440513">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（五）如甲方隐瞒有关法律顾问事务的真实情况或要求乙方律师从事违反法律或律师执业规范的活动，乙方有权拒绝。 </w:t>
      </w:r>
    </w:p>
    <w:p w14:paraId="3A1FCC4D">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（六）常年法律顾问应当建立工作档案，保存工作记录。 </w:t>
      </w:r>
    </w:p>
    <w:p w14:paraId="467DCC05">
      <w:pPr>
        <w:snapToGrid w:val="0"/>
        <w:spacing w:line="560" w:lineRule="exact"/>
        <w:ind w:firstLine="560" w:firstLineChars="20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七）如果乙方提交的服务成果未被甲方或上级单位（或地区政府相关主管部门）认可，则乙方应继续修改并提交甲方上报，直至被甲方或上级单位（或地区政府相关主管部门）认可通过为止，此过程乙方不再另行收费。</w:t>
      </w:r>
    </w:p>
    <w:p w14:paraId="068B6A9F">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第四条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本合同生效后，甲乙双方均可依法解除合同，因解除合同给对方造成损失的，除不可归责于解除合同一方的事由外，应当赔偿对方因此而发生的损失，赔偿金额以乙方实际收到的法律顾问费为限。 </w:t>
      </w:r>
    </w:p>
    <w:p w14:paraId="37C5055C">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第五条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聘请期限与服务方式 </w:t>
      </w:r>
    </w:p>
    <w:p w14:paraId="5FD7F21E">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一</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常年法律顾问服务</w:t>
      </w:r>
      <w:r>
        <w:rPr>
          <w:rFonts w:ascii="Times New Roman" w:hAnsi="Times New Roman" w:eastAsia="仿宋_GB2312" w:cs="Times New Roman"/>
          <w:color w:val="000000" w:themeColor="text1"/>
          <w:sz w:val="28"/>
          <w:szCs w:val="28"/>
          <w14:textFill>
            <w14:solidFill>
              <w14:schemeClr w14:val="tx1"/>
            </w14:solidFill>
          </w14:textFill>
        </w:rPr>
        <w:t>聘请期限：自</w:t>
      </w:r>
      <w:r>
        <w:rPr>
          <w:rFonts w:hint="eastAsia" w:ascii="Times New Roman" w:hAnsi="Times New Roman" w:eastAsia="仿宋_GB2312" w:cs="Times New Roman"/>
          <w:color w:val="000000" w:themeColor="text1"/>
          <w:sz w:val="28"/>
          <w:szCs w:val="28"/>
          <w:u w:val="single"/>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日起至</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年</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日止，共</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个工作年度。服务方式： </w:t>
      </w:r>
    </w:p>
    <w:p w14:paraId="01F05736">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非坐班模式，日常文件通过微信、邮箱发送审核，必要时提供上门服务、参加公司重大会议</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 </w:t>
      </w:r>
    </w:p>
    <w:p w14:paraId="0D0F0E26">
      <w:pPr>
        <w:snapToGrid w:val="0"/>
        <w:spacing w:line="560" w:lineRule="exact"/>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二</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专项法律服务聘请期限：自</w:t>
      </w:r>
      <w:r>
        <w:rPr>
          <w:rFonts w:hint="eastAsia" w:ascii="Times New Roman" w:hAnsi="Times New Roman" w:eastAsia="仿宋_GB2312" w:cs="Times New Roman"/>
          <w:color w:val="000000" w:themeColor="text1"/>
          <w:sz w:val="28"/>
          <w:szCs w:val="28"/>
          <w:u w:val="single"/>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年</w:t>
      </w:r>
      <w:r>
        <w:rPr>
          <w:rFonts w:hint="eastAsia" w:ascii="Times New Roman" w:hAnsi="Times New Roman" w:eastAsia="仿宋_GB2312" w:cs="Times New Roman"/>
          <w:color w:val="000000" w:themeColor="text1"/>
          <w:sz w:val="28"/>
          <w:szCs w:val="28"/>
          <w:u w:val="single"/>
          <w14:textFill>
            <w14:solidFill>
              <w14:schemeClr w14:val="tx1"/>
            </w14:solidFill>
          </w14:textFill>
        </w:rPr>
        <w:t>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月</w:t>
      </w:r>
      <w:r>
        <w:rPr>
          <w:rFonts w:hint="eastAsia" w:ascii="Times New Roman" w:hAnsi="Times New Roman" w:eastAsia="仿宋_GB2312" w:cs="Times New Roman"/>
          <w:color w:val="000000" w:themeColor="text1"/>
          <w:sz w:val="28"/>
          <w:szCs w:val="28"/>
          <w:u w:val="single"/>
          <w14:textFill>
            <w14:solidFill>
              <w14:schemeClr w14:val="tx1"/>
            </w14:solidFill>
          </w14:textFill>
        </w:rPr>
        <w:t>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日起</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至甲方书面通知终止服务之日止，每周一至周五</w:t>
      </w:r>
      <w:r>
        <w:rPr>
          <w:rFonts w:hint="eastAsia" w:ascii="Times New Roman" w:hAnsi="Times New Roman" w:cs="Times New Roman"/>
          <w:spacing w:val="0"/>
          <w:sz w:val="28"/>
          <w:szCs w:val="28"/>
          <w:lang w:val="en-US" w:eastAsia="zh-CN" w:bidi="zh-CN"/>
        </w:rPr>
        <w:t>：08:30-17:30</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，特殊情况下周末或节假日需根据甲方安排提供加急服务。</w:t>
      </w:r>
    </w:p>
    <w:p w14:paraId="6306E073">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第六条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费用的确定与支付 </w:t>
      </w:r>
    </w:p>
    <w:p w14:paraId="02684BEC">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（一）收费依据：国家和海南省律师服务收费的现行有效规定。 </w:t>
      </w:r>
    </w:p>
    <w:p w14:paraId="77862B42">
      <w:pPr>
        <w:keepNext w:val="0"/>
        <w:keepLines w:val="0"/>
        <w:pageBreakBefore w:val="0"/>
        <w:widowControl w:val="0"/>
        <w:kinsoku/>
        <w:wordWrap w:val="0"/>
        <w:overflowPunct/>
        <w:topLinePunct/>
        <w:autoSpaceDE/>
        <w:autoSpaceDN/>
        <w:bidi w:val="0"/>
        <w:adjustRightInd/>
        <w:snapToGrid w:val="0"/>
        <w:spacing w:line="560" w:lineRule="exact"/>
        <w:ind w:firstLine="560" w:firstLineChars="200"/>
        <w:textAlignment w:val="auto"/>
        <w:rPr>
          <w:rFonts w:ascii="Times New Roman" w:hAnsi="Times New Roman" w:eastAsia="仿宋_GB2312" w:cs="Times New Roman"/>
          <w:sz w:val="28"/>
          <w:szCs w:val="28"/>
          <w:lang w:val="zh-CN" w:eastAsia="zh-CN" w:bidi="zh-CN"/>
        </w:rPr>
      </w:pPr>
      <w:r>
        <w:rPr>
          <w:rFonts w:ascii="Times New Roman" w:hAnsi="Times New Roman" w:eastAsia="仿宋_GB2312" w:cs="Times New Roman"/>
          <w:color w:val="000000" w:themeColor="text1"/>
          <w:sz w:val="28"/>
          <w:szCs w:val="28"/>
          <w14:textFill>
            <w14:solidFill>
              <w14:schemeClr w14:val="tx1"/>
            </w14:solidFill>
          </w14:textFill>
        </w:rPr>
        <w:t>（二）</w:t>
      </w:r>
      <w:r>
        <w:rPr>
          <w:rFonts w:ascii="Times New Roman" w:hAnsi="Times New Roman" w:eastAsia="仿宋_GB2312" w:cs="Times New Roman"/>
          <w:sz w:val="28"/>
          <w:szCs w:val="28"/>
          <w:lang w:val="zh-CN" w:eastAsia="zh-CN" w:bidi="zh-CN"/>
        </w:rPr>
        <w:t>服</w:t>
      </w:r>
      <w:r>
        <w:rPr>
          <w:rFonts w:ascii="Times New Roman" w:hAnsi="Times New Roman" w:eastAsia="仿宋_GB2312" w:cs="Times New Roman"/>
          <w:spacing w:val="0"/>
          <w:sz w:val="28"/>
          <w:szCs w:val="28"/>
          <w:lang w:val="zh-CN" w:eastAsia="zh-CN" w:bidi="zh-CN"/>
        </w:rPr>
        <w:t>务费</w:t>
      </w:r>
      <w:r>
        <w:rPr>
          <w:rFonts w:ascii="Times New Roman" w:hAnsi="Times New Roman" w:eastAsia="仿宋_GB2312" w:cs="Times New Roman"/>
          <w:sz w:val="28"/>
          <w:szCs w:val="28"/>
          <w:lang w:val="zh-CN" w:eastAsia="zh-CN" w:bidi="zh-CN"/>
        </w:rPr>
        <w:t>：</w:t>
      </w:r>
    </w:p>
    <w:p w14:paraId="6F90EF99">
      <w:pPr>
        <w:keepNext w:val="0"/>
        <w:keepLines w:val="0"/>
        <w:pageBreakBefore w:val="0"/>
        <w:widowControl w:val="0"/>
        <w:kinsoku/>
        <w:wordWrap w:val="0"/>
        <w:overflowPunct/>
        <w:topLinePunct/>
        <w:autoSpaceDE/>
        <w:autoSpaceDN/>
        <w:bidi w:val="0"/>
        <w:adjustRightInd/>
        <w:snapToGrid w:val="0"/>
        <w:spacing w:line="560" w:lineRule="exact"/>
        <w:ind w:firstLine="560" w:firstLineChars="200"/>
        <w:textAlignment w:val="auto"/>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sz w:val="28"/>
          <w:szCs w:val="28"/>
          <w:lang w:val="en-US" w:eastAsia="zh-CN" w:bidi="zh-CN"/>
        </w:rPr>
        <w:t>1.</w:t>
      </w:r>
      <w:r>
        <w:rPr>
          <w:rFonts w:ascii="Times New Roman" w:hAnsi="Times New Roman" w:eastAsia="仿宋_GB2312" w:cs="Times New Roman"/>
          <w:color w:val="000000" w:themeColor="text1"/>
          <w:sz w:val="28"/>
          <w:szCs w:val="28"/>
          <w14:textFill>
            <w14:solidFill>
              <w14:schemeClr w14:val="tx1"/>
            </w14:solidFill>
          </w14:textFill>
        </w:rPr>
        <w:t>法律顾问费：每个工作年度为人民币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元，总额为人民币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元。 </w:t>
      </w:r>
    </w:p>
    <w:p w14:paraId="01A030E0">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付费时间为下列第</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 xml:space="preserve">种。 </w:t>
      </w:r>
    </w:p>
    <w:p w14:paraId="1533E4A7">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1</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 xml:space="preserve">甲方应于每一个工作年度开始的前15日内向乙方支付该工作年度的法律顾问费。 </w:t>
      </w:r>
    </w:p>
    <w:p w14:paraId="5A33305E">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ascii="Times New Roman" w:hAnsi="Times New Roman" w:eastAsia="仿宋_GB2312" w:cs="Times New Roman"/>
          <w:color w:val="000000" w:themeColor="text1"/>
          <w:sz w:val="28"/>
          <w:szCs w:val="28"/>
          <w14:textFill>
            <w14:solidFill>
              <w14:schemeClr w14:val="tx1"/>
            </w14:solidFill>
          </w14:textFill>
        </w:rPr>
        <w:t xml:space="preserve">其他约定： </w:t>
      </w:r>
    </w:p>
    <w:p w14:paraId="5BD43327">
      <w:pPr>
        <w:wordWrap w:val="0"/>
        <w:topLinePunct/>
        <w:snapToGrid w:val="0"/>
        <w:spacing w:line="560" w:lineRule="exact"/>
        <w:ind w:firstLine="560" w:firstLineChars="20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本合同签订后15日内支付年度法律顾问费用的</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2</w:t>
      </w:r>
      <w:r>
        <w:rPr>
          <w:rFonts w:hint="eastAsia" w:ascii="Times New Roman" w:hAnsi="Times New Roman" w:eastAsia="仿宋_GB2312" w:cs="Times New Roman"/>
          <w:color w:val="000000" w:themeColor="text1"/>
          <w:sz w:val="28"/>
          <w:szCs w:val="28"/>
          <w14:textFill>
            <w14:solidFill>
              <w14:schemeClr w14:val="tx1"/>
            </w14:solidFill>
          </w14:textFill>
        </w:rPr>
        <w:t xml:space="preserve">0%（即： </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 xml:space="preserve"> 元），服务期满六个月后15日内支付</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至6</w:t>
      </w:r>
      <w:r>
        <w:rPr>
          <w:rFonts w:hint="eastAsia" w:ascii="Times New Roman" w:hAnsi="Times New Roman" w:eastAsia="仿宋_GB2312" w:cs="Times New Roman"/>
          <w:color w:val="000000" w:themeColor="text1"/>
          <w:sz w:val="28"/>
          <w:szCs w:val="28"/>
          <w14:textFill>
            <w14:solidFill>
              <w14:schemeClr w14:val="tx1"/>
            </w14:solidFill>
          </w14:textFill>
        </w:rPr>
        <w:t>0%年度法律顾问费用（即：</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元）</w:t>
      </w:r>
      <w:r>
        <w:rPr>
          <w:rFonts w:hint="eastAsia" w:ascii="Times New Roman" w:hAnsi="Times New Roman" w:eastAsia="仿宋_GB2312" w:cs="Times New Roman"/>
          <w:color w:val="000000" w:themeColor="text1"/>
          <w:sz w:val="28"/>
          <w:szCs w:val="28"/>
          <w:lang w:eastAsia="zh-CN"/>
          <w14:textFill>
            <w14:solidFill>
              <w14:schemeClr w14:val="tx1"/>
            </w14:solidFill>
          </w14:textFill>
        </w:rPr>
        <w:t>，</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本合同服务期满前1个月内支付剩余4</w:t>
      </w:r>
      <w:r>
        <w:rPr>
          <w:rFonts w:hint="eastAsia" w:ascii="Times New Roman" w:hAnsi="Times New Roman" w:eastAsia="仿宋_GB2312" w:cs="Times New Roman"/>
          <w:color w:val="000000" w:themeColor="text1"/>
          <w:sz w:val="28"/>
          <w:szCs w:val="28"/>
          <w14:textFill>
            <w14:solidFill>
              <w14:schemeClr w14:val="tx1"/>
            </w14:solidFill>
          </w14:textFill>
        </w:rPr>
        <w:t>0%年度法律顾问费用（即：</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14:textFill>
            <w14:solidFill>
              <w14:schemeClr w14:val="tx1"/>
            </w14:solidFill>
          </w14:textFill>
        </w:rPr>
        <w:t>元）。</w:t>
      </w:r>
    </w:p>
    <w:p w14:paraId="70EF3A14">
      <w:pPr>
        <w:keepNext w:val="0"/>
        <w:keepLines w:val="0"/>
        <w:pageBreakBefore w:val="0"/>
        <w:widowControl w:val="0"/>
        <w:kinsoku/>
        <w:wordWrap/>
        <w:overflowPunct/>
        <w:topLinePunct w:val="0"/>
        <w:autoSpaceDE w:val="0"/>
        <w:autoSpaceDN w:val="0"/>
        <w:bidi w:val="0"/>
        <w:spacing w:line="560" w:lineRule="exact"/>
        <w:ind w:left="0" w:right="0" w:firstLine="560" w:firstLineChars="200"/>
        <w:jc w:val="both"/>
        <w:textAlignment w:val="auto"/>
        <w:rPr>
          <w:rFonts w:hint="eastAsia" w:ascii="Times New Roman" w:hAnsi="Times New Roman" w:cs="Times New Roman"/>
          <w:sz w:val="28"/>
          <w:szCs w:val="28"/>
          <w:u w:val="single"/>
          <w:lang w:val="zh-CN" w:eastAsia="zh-CN" w:bidi="zh-CN"/>
        </w:rPr>
      </w:pPr>
      <w:r>
        <w:rPr>
          <w:rFonts w:hint="eastAsia" w:ascii="Times New Roman" w:hAnsi="Times New Roman" w:cs="Times New Roman"/>
          <w:sz w:val="28"/>
          <w:szCs w:val="28"/>
          <w:u w:val="single"/>
          <w:lang w:val="en-US" w:eastAsia="zh-CN" w:bidi="zh-CN"/>
        </w:rPr>
        <w:t>2.专项</w:t>
      </w:r>
      <w:r>
        <w:rPr>
          <w:rFonts w:hint="eastAsia" w:ascii="Times New Roman" w:hAnsi="Times New Roman" w:eastAsia="仿宋_GB2312" w:cs="Times New Roman"/>
          <w:sz w:val="28"/>
          <w:szCs w:val="28"/>
          <w:u w:val="single"/>
          <w:lang w:val="zh-CN" w:eastAsia="zh-CN" w:bidi="zh-CN"/>
        </w:rPr>
        <w:t>法律服务费用</w:t>
      </w:r>
      <w:r>
        <w:rPr>
          <w:rFonts w:hint="eastAsia" w:ascii="Times New Roman" w:hAnsi="Times New Roman" w:cs="Times New Roman"/>
          <w:sz w:val="28"/>
          <w:szCs w:val="28"/>
          <w:u w:val="single"/>
          <w:lang w:val="en-US" w:eastAsia="zh-CN" w:bidi="zh-CN"/>
        </w:rPr>
        <w:t>按照每月含税          元（大写：               ）计算</w:t>
      </w:r>
      <w:r>
        <w:rPr>
          <w:rFonts w:hint="eastAsia" w:ascii="Times New Roman" w:hAnsi="Times New Roman" w:eastAsia="仿宋_GB2312" w:cs="Times New Roman"/>
          <w:sz w:val="28"/>
          <w:szCs w:val="28"/>
          <w:u w:val="single"/>
          <w:lang w:val="en-US" w:eastAsia="zh-CN" w:bidi="zh-CN"/>
        </w:rPr>
        <w:t>，税率为</w:t>
      </w:r>
      <w:r>
        <w:rPr>
          <w:rFonts w:hint="eastAsia" w:ascii="Times New Roman" w:hAnsi="Times New Roman" w:cs="Times New Roman"/>
          <w:sz w:val="28"/>
          <w:szCs w:val="28"/>
          <w:u w:val="single"/>
          <w:lang w:val="en-US" w:eastAsia="zh-CN" w:bidi="zh-CN"/>
        </w:rPr>
        <w:t>6</w:t>
      </w:r>
      <w:r>
        <w:rPr>
          <w:rFonts w:hint="eastAsia" w:ascii="Times New Roman" w:hAnsi="Times New Roman" w:eastAsia="仿宋_GB2312" w:cs="Times New Roman"/>
          <w:sz w:val="28"/>
          <w:szCs w:val="28"/>
          <w:u w:val="single"/>
          <w:lang w:val="en-US" w:eastAsia="zh-CN" w:bidi="zh-CN"/>
        </w:rPr>
        <w:t>%。</w:t>
      </w:r>
      <w:r>
        <w:rPr>
          <w:rFonts w:hint="eastAsia" w:ascii="Times New Roman" w:hAnsi="Times New Roman" w:cs="Times New Roman"/>
          <w:sz w:val="28"/>
          <w:szCs w:val="28"/>
          <w:u w:val="single"/>
          <w:lang w:val="en-US" w:eastAsia="zh-CN" w:bidi="zh-CN"/>
        </w:rPr>
        <w:t>支付方式：按月支付，</w:t>
      </w:r>
      <w:r>
        <w:rPr>
          <w:rFonts w:hint="eastAsia" w:ascii="Times New Roman" w:hAnsi="Times New Roman" w:eastAsia="仿宋_GB2312" w:cs="Times New Roman"/>
          <w:i w:val="0"/>
          <w:iCs w:val="0"/>
          <w:caps w:val="0"/>
          <w:color w:val="auto"/>
          <w:spacing w:val="0"/>
          <w:sz w:val="28"/>
          <w:szCs w:val="28"/>
          <w:u w:val="single"/>
          <w:shd w:val="clear" w:fill="auto"/>
          <w:lang w:bidi="zh-CN"/>
        </w:rPr>
        <w:t>支付周期为次月支付上月费用，若服务期不满整月，则按当月实际工作日折算支付。</w:t>
      </w:r>
    </w:p>
    <w:p w14:paraId="6B63519F">
      <w:pPr>
        <w:wordWrap w:val="0"/>
        <w:topLinePunct/>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甲方支付每一阶段服务费前，乙方需开具合法有效的增值税专用发票，乙方提供的增值税发票须是符合国家规定的、真实、有效发票，因乙方提供的发票不合格造成的责任和损失，由乙方自行承担；如因此给甲方造成损失，乙方还应负责赔偿。</w:t>
      </w:r>
    </w:p>
    <w:p w14:paraId="15F580F7">
      <w:pPr>
        <w:autoSpaceDE w:val="0"/>
        <w:autoSpaceDN w:val="0"/>
        <w:spacing w:line="560" w:lineRule="exact"/>
        <w:ind w:firstLine="560" w:firstLineChars="200"/>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乙方指定收款账户信息：</w:t>
      </w:r>
    </w:p>
    <w:p w14:paraId="25020055">
      <w:pPr>
        <w:autoSpaceDE w:val="0"/>
        <w:autoSpaceDN w:val="0"/>
        <w:spacing w:line="560" w:lineRule="exact"/>
        <w:ind w:firstLine="560" w:firstLineChars="200"/>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开户银行：</w:t>
      </w:r>
      <w:r>
        <w:rPr>
          <w:rFonts w:hint="eastAsia" w:ascii="仿宋_GB2312" w:hAnsi="Calibri" w:eastAsia="仿宋_GB2312" w:cs="Times New Roman"/>
          <w:sz w:val="28"/>
          <w:szCs w:val="22"/>
          <w:lang w:val="en-US" w:bidi="zh-CN"/>
        </w:rPr>
        <w:t xml:space="preserve"> </w:t>
      </w:r>
      <w:r>
        <w:rPr>
          <w:rFonts w:hint="eastAsia" w:ascii="仿宋_GB2312" w:hAnsi="Calibri" w:eastAsia="仿宋_GB2312" w:cs="Times New Roman"/>
          <w:sz w:val="28"/>
          <w:szCs w:val="22"/>
          <w:lang w:val="zh-CN" w:bidi="zh-CN"/>
        </w:rPr>
        <w:t xml:space="preserve">      </w:t>
      </w:r>
    </w:p>
    <w:p w14:paraId="748B7A1A">
      <w:pPr>
        <w:autoSpaceDE w:val="0"/>
        <w:autoSpaceDN w:val="0"/>
        <w:spacing w:line="560" w:lineRule="exact"/>
        <w:ind w:firstLine="560" w:firstLineChars="200"/>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 xml:space="preserve">户名： </w:t>
      </w:r>
      <w:r>
        <w:rPr>
          <w:rFonts w:hint="eastAsia" w:ascii="仿宋_GB2312" w:hAnsi="Calibri" w:eastAsia="仿宋_GB2312" w:cs="Times New Roman"/>
          <w:sz w:val="28"/>
          <w:szCs w:val="22"/>
          <w:lang w:val="en-US" w:bidi="zh-CN"/>
        </w:rPr>
        <w:t xml:space="preserve"> </w:t>
      </w:r>
      <w:r>
        <w:rPr>
          <w:rFonts w:hint="eastAsia" w:ascii="仿宋_GB2312" w:hAnsi="Calibri" w:eastAsia="仿宋_GB2312" w:cs="Times New Roman"/>
          <w:sz w:val="28"/>
          <w:szCs w:val="22"/>
          <w:lang w:val="zh-CN" w:bidi="zh-CN"/>
        </w:rPr>
        <w:t xml:space="preserve">      </w:t>
      </w:r>
    </w:p>
    <w:p w14:paraId="0FD67E80">
      <w:pPr>
        <w:autoSpaceDE w:val="0"/>
        <w:autoSpaceDN w:val="0"/>
        <w:spacing w:line="560" w:lineRule="exact"/>
        <w:ind w:firstLine="560" w:firstLineChars="200"/>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地址：</w:t>
      </w:r>
      <w:r>
        <w:rPr>
          <w:rFonts w:hint="eastAsia" w:ascii="仿宋_GB2312" w:hAnsi="Calibri" w:eastAsia="仿宋_GB2312" w:cs="Times New Roman"/>
          <w:kern w:val="2"/>
          <w:sz w:val="28"/>
          <w:szCs w:val="22"/>
          <w:lang w:val="en-US" w:eastAsia="zh-CN" w:bidi="zh-CN"/>
        </w:rPr>
        <w:t xml:space="preserve"> </w:t>
      </w:r>
      <w:r>
        <w:rPr>
          <w:rFonts w:hint="eastAsia" w:ascii="仿宋_GB2312" w:hAnsi="Calibri" w:eastAsia="仿宋_GB2312" w:cs="Times New Roman"/>
          <w:sz w:val="28"/>
          <w:szCs w:val="22"/>
          <w:lang w:val="zh-CN" w:bidi="zh-CN"/>
        </w:rPr>
        <w:t xml:space="preserve">    </w:t>
      </w:r>
    </w:p>
    <w:p w14:paraId="150525F7">
      <w:pPr>
        <w:autoSpaceDE w:val="0"/>
        <w:autoSpaceDN w:val="0"/>
        <w:spacing w:line="560" w:lineRule="exact"/>
        <w:ind w:firstLine="560" w:firstLineChars="200"/>
        <w:rPr>
          <w:rFonts w:hint="eastAsia"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账号：</w:t>
      </w:r>
      <w:r>
        <w:rPr>
          <w:rFonts w:hint="eastAsia" w:ascii="Times New Roman" w:hAnsi="Times New Roman" w:eastAsia="仿宋_GB2312" w:cs="Times New Roman"/>
          <w:sz w:val="28"/>
          <w:lang w:val="en-US" w:eastAsia="zh-CN" w:bidi="ar"/>
        </w:rPr>
        <w:t xml:space="preserve"> </w:t>
      </w:r>
      <w:r>
        <w:rPr>
          <w:rFonts w:hint="eastAsia" w:ascii="仿宋_GB2312" w:hAnsi="Calibri" w:eastAsia="仿宋_GB2312" w:cs="Times New Roman"/>
          <w:sz w:val="28"/>
          <w:szCs w:val="22"/>
          <w:lang w:val="zh-CN" w:bidi="zh-CN"/>
        </w:rPr>
        <w:t xml:space="preserve"> </w:t>
      </w:r>
    </w:p>
    <w:p w14:paraId="0205C328">
      <w:pPr>
        <w:pStyle w:val="2"/>
        <w:spacing w:line="560" w:lineRule="exact"/>
        <w:rPr>
          <w:lang w:val="zh-CN"/>
        </w:rPr>
      </w:pPr>
    </w:p>
    <w:p w14:paraId="065D9713">
      <w:pPr>
        <w:pStyle w:val="8"/>
        <w:spacing w:line="560" w:lineRule="exact"/>
        <w:ind w:firstLine="560" w:firstLineChars="200"/>
        <w:jc w:val="left"/>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甲方指定开票信息：</w:t>
      </w:r>
      <w:r>
        <w:rPr>
          <w:rFonts w:hint="eastAsia" w:ascii="仿宋_GB2312" w:hAnsi="Calibri" w:eastAsia="仿宋_GB2312" w:cs="Times New Roman"/>
          <w:kern w:val="2"/>
          <w:sz w:val="28"/>
          <w:szCs w:val="22"/>
          <w:lang w:val="zh-CN" w:eastAsia="zh-CN" w:bidi="zh-CN"/>
        </w:rPr>
        <w:t>海口市君成产业服务股份有限公司</w:t>
      </w:r>
    </w:p>
    <w:p w14:paraId="04E3574E">
      <w:pPr>
        <w:pStyle w:val="8"/>
        <w:spacing w:line="560" w:lineRule="exact"/>
        <w:ind w:firstLine="560" w:firstLineChars="200"/>
        <w:jc w:val="left"/>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纳税人识别号：</w:t>
      </w:r>
      <w:r>
        <w:rPr>
          <w:rFonts w:hint="eastAsia" w:ascii="仿宋_GB2312" w:hAnsi="Calibri" w:eastAsia="仿宋_GB2312" w:cs="Times New Roman"/>
          <w:kern w:val="2"/>
          <w:sz w:val="28"/>
          <w:szCs w:val="22"/>
          <w:lang w:val="zh-CN" w:eastAsia="zh-CN" w:bidi="zh-CN"/>
        </w:rPr>
        <w:t>91460000MACBTQ0246</w:t>
      </w:r>
      <w:r>
        <w:rPr>
          <w:rFonts w:hint="eastAsia" w:ascii="仿宋_GB2312" w:hAnsi="Calibri" w:eastAsia="仿宋_GB2312" w:cs="Times New Roman"/>
          <w:sz w:val="28"/>
          <w:szCs w:val="22"/>
          <w:lang w:val="zh-CN" w:bidi="zh-CN"/>
        </w:rPr>
        <w:t xml:space="preserve">    </w:t>
      </w:r>
    </w:p>
    <w:p w14:paraId="32A4FC6F">
      <w:pPr>
        <w:pStyle w:val="8"/>
        <w:spacing w:line="560" w:lineRule="exact"/>
        <w:ind w:firstLine="560" w:firstLineChars="200"/>
        <w:jc w:val="left"/>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 xml:space="preserve">地址： </w:t>
      </w:r>
      <w:r>
        <w:rPr>
          <w:rFonts w:hint="eastAsia" w:ascii="仿宋_GB2312" w:hAnsi="Calibri" w:eastAsia="仿宋_GB2312" w:cs="Times New Roman"/>
          <w:kern w:val="2"/>
          <w:sz w:val="28"/>
          <w:szCs w:val="22"/>
          <w:lang w:val="zh-CN" w:eastAsia="zh-CN" w:bidi="zh-CN"/>
        </w:rPr>
        <w:t>海南省海口市江东新区江东大道202号江东大厦C座3层</w:t>
      </w:r>
    </w:p>
    <w:p w14:paraId="2EAAFEEF">
      <w:pPr>
        <w:pStyle w:val="8"/>
        <w:spacing w:line="560" w:lineRule="exact"/>
        <w:ind w:firstLine="560" w:firstLineChars="200"/>
        <w:jc w:val="left"/>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 xml:space="preserve">电话：  </w:t>
      </w:r>
      <w:r>
        <w:rPr>
          <w:rFonts w:hint="eastAsia" w:ascii="仿宋_GB2312" w:hAnsi="Calibri" w:eastAsia="仿宋_GB2312" w:cs="Times New Roman"/>
          <w:kern w:val="2"/>
          <w:sz w:val="28"/>
          <w:szCs w:val="22"/>
          <w:lang w:val="zh-CN" w:eastAsia="zh-CN" w:bidi="zh-CN"/>
        </w:rPr>
        <w:t xml:space="preserve">0898-31908519 </w:t>
      </w:r>
    </w:p>
    <w:p w14:paraId="2DABD1FB">
      <w:pPr>
        <w:pStyle w:val="8"/>
        <w:spacing w:line="560" w:lineRule="exact"/>
        <w:ind w:firstLine="560" w:firstLineChars="200"/>
        <w:jc w:val="left"/>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 xml:space="preserve">开户银行： </w:t>
      </w:r>
      <w:r>
        <w:rPr>
          <w:rFonts w:hint="eastAsia" w:ascii="仿宋_GB2312" w:hAnsi="Calibri" w:eastAsia="仿宋_GB2312" w:cs="Times New Roman"/>
          <w:kern w:val="2"/>
          <w:sz w:val="28"/>
          <w:szCs w:val="22"/>
          <w:lang w:val="zh-CN" w:eastAsia="zh-CN" w:bidi="zh-CN"/>
        </w:rPr>
        <w:t xml:space="preserve">海南银行股份有限公司海口金龙路支行 </w:t>
      </w:r>
    </w:p>
    <w:p w14:paraId="6802B7B7">
      <w:pPr>
        <w:pStyle w:val="8"/>
        <w:spacing w:line="560" w:lineRule="exact"/>
        <w:ind w:firstLine="560" w:firstLineChars="200"/>
        <w:jc w:val="left"/>
        <w:rPr>
          <w:rFonts w:ascii="仿宋_GB2312" w:hAnsi="Calibri" w:eastAsia="仿宋_GB2312" w:cs="Times New Roman"/>
          <w:sz w:val="28"/>
          <w:szCs w:val="22"/>
          <w:lang w:val="zh-CN" w:bidi="zh-CN"/>
        </w:rPr>
      </w:pPr>
      <w:r>
        <w:rPr>
          <w:rFonts w:hint="eastAsia" w:ascii="仿宋_GB2312" w:hAnsi="Calibri" w:eastAsia="仿宋_GB2312" w:cs="Times New Roman"/>
          <w:sz w:val="28"/>
          <w:szCs w:val="22"/>
          <w:lang w:val="zh-CN" w:bidi="zh-CN"/>
        </w:rPr>
        <w:t xml:space="preserve">银行账号： </w:t>
      </w:r>
      <w:r>
        <w:rPr>
          <w:rFonts w:hint="eastAsia" w:ascii="仿宋_GB2312" w:hAnsi="Calibri" w:eastAsia="仿宋_GB2312" w:cs="Times New Roman"/>
          <w:kern w:val="2"/>
          <w:sz w:val="28"/>
          <w:szCs w:val="22"/>
          <w:lang w:val="zh-CN" w:eastAsia="zh-CN" w:bidi="zh-CN"/>
        </w:rPr>
        <w:t>6005683800018</w:t>
      </w:r>
    </w:p>
    <w:p w14:paraId="1512C1E9">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无论选择上述何种付费时间支付法律顾问费，甲方均应以转账方式直接向乙方支付并索取有效发票；向常年法律顾问本人或其他个人支付的，乙方均不予认可。</w:t>
      </w:r>
    </w:p>
    <w:p w14:paraId="0BA7C7D4">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（三）常年法律顾问在办理甲方的法律事务过程中发生的鉴定费、评估费、公证费、公告费、查档费等费用，由甲方另行支付。 </w:t>
      </w:r>
    </w:p>
    <w:p w14:paraId="70F0DA32">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（四）甲方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可</w:t>
      </w:r>
      <w:r>
        <w:rPr>
          <w:rFonts w:ascii="Times New Roman" w:hAnsi="Times New Roman" w:eastAsia="仿宋_GB2312" w:cs="Times New Roman"/>
          <w:color w:val="000000" w:themeColor="text1"/>
          <w:sz w:val="28"/>
          <w:szCs w:val="28"/>
          <w14:textFill>
            <w14:solidFill>
              <w14:schemeClr w14:val="tx1"/>
            </w14:solidFill>
          </w14:textFill>
        </w:rPr>
        <w:t>就本合同第一条第（</w:t>
      </w:r>
      <w:r>
        <w:rPr>
          <w:rFonts w:hint="eastAsia" w:ascii="Times New Roman" w:hAnsi="Times New Roman" w:eastAsia="仿宋_GB2312" w:cs="Times New Roman"/>
          <w:color w:val="000000" w:themeColor="text1"/>
          <w:sz w:val="28"/>
          <w:szCs w:val="28"/>
          <w14:textFill>
            <w14:solidFill>
              <w14:schemeClr w14:val="tx1"/>
            </w14:solidFill>
          </w14:textFill>
        </w:rPr>
        <w:t>三</w:t>
      </w:r>
      <w:r>
        <w:rPr>
          <w:rFonts w:ascii="Times New Roman" w:hAnsi="Times New Roman" w:eastAsia="仿宋_GB2312" w:cs="Times New Roman"/>
          <w:color w:val="000000" w:themeColor="text1"/>
          <w:sz w:val="28"/>
          <w:szCs w:val="28"/>
          <w14:textFill>
            <w14:solidFill>
              <w14:schemeClr w14:val="tx1"/>
            </w14:solidFill>
          </w14:textFill>
        </w:rPr>
        <w:t xml:space="preserve">）项所列的法律事务委托乙方办理，应另行签约与支付律师服务费，乙方应给予优惠。 </w:t>
      </w:r>
    </w:p>
    <w:p w14:paraId="02941F32">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 xml:space="preserve">（五）经乙方催告后仍未支付律师服务费的，乙方有权解除合同，但应当通知甲方。 </w:t>
      </w:r>
    </w:p>
    <w:p w14:paraId="32E483F2">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第七条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因乙方律师的</w:t>
      </w:r>
      <w:r>
        <w:rPr>
          <w:rFonts w:hint="eastAsia" w:ascii="Times New Roman" w:hAnsi="Times New Roman" w:eastAsia="仿宋_GB2312" w:cs="Times New Roman"/>
          <w:color w:val="000000" w:themeColor="text1"/>
          <w:sz w:val="28"/>
          <w:szCs w:val="28"/>
          <w14:textFill>
            <w14:solidFill>
              <w14:schemeClr w14:val="tx1"/>
            </w14:solidFill>
          </w14:textFill>
        </w:rPr>
        <w:t>过失</w:t>
      </w:r>
      <w:r>
        <w:rPr>
          <w:rFonts w:ascii="Times New Roman" w:hAnsi="Times New Roman" w:eastAsia="仿宋_GB2312" w:cs="Times New Roman"/>
          <w:color w:val="000000" w:themeColor="text1"/>
          <w:sz w:val="28"/>
          <w:szCs w:val="28"/>
          <w14:textFill>
            <w14:solidFill>
              <w14:schemeClr w14:val="tx1"/>
            </w14:solidFill>
          </w14:textFill>
        </w:rPr>
        <w:t>行为导致甲方蒙受损失，乙方通过其投保的执业保险向甲方承担</w:t>
      </w:r>
      <w:r>
        <w:rPr>
          <w:rFonts w:hint="eastAsia" w:ascii="Times New Roman" w:hAnsi="Times New Roman" w:eastAsia="仿宋_GB2312" w:cs="Times New Roman"/>
          <w:color w:val="000000" w:themeColor="text1"/>
          <w:sz w:val="28"/>
          <w:szCs w:val="28"/>
          <w14:textFill>
            <w14:solidFill>
              <w14:schemeClr w14:val="tx1"/>
            </w14:solidFill>
          </w14:textFill>
        </w:rPr>
        <w:t>过失</w:t>
      </w:r>
      <w:r>
        <w:rPr>
          <w:rFonts w:ascii="Times New Roman" w:hAnsi="Times New Roman" w:eastAsia="仿宋_GB2312" w:cs="Times New Roman"/>
          <w:color w:val="000000" w:themeColor="text1"/>
          <w:sz w:val="28"/>
          <w:szCs w:val="28"/>
          <w14:textFill>
            <w14:solidFill>
              <w14:schemeClr w14:val="tx1"/>
            </w14:solidFill>
          </w14:textFill>
        </w:rPr>
        <w:t xml:space="preserve">赔偿责任，赔偿金额以乙方投保的执业保险金额为限。 </w:t>
      </w:r>
    </w:p>
    <w:p w14:paraId="1548193C">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第八条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hint="eastAsia" w:ascii="Times New Roman" w:hAnsi="Times New Roman" w:eastAsia="仿宋_GB2312" w:cs="Times New Roman"/>
          <w:color w:val="000000" w:themeColor="text1"/>
          <w:sz w:val="28"/>
          <w:szCs w:val="28"/>
          <w14:textFill>
            <w14:solidFill>
              <w14:schemeClr w14:val="tx1"/>
            </w14:solidFill>
          </w14:textFill>
        </w:rPr>
        <w:t>双方</w:t>
      </w:r>
      <w:r>
        <w:rPr>
          <w:rFonts w:ascii="Times New Roman" w:hAnsi="Times New Roman" w:eastAsia="仿宋_GB2312" w:cs="Times New Roman"/>
          <w:color w:val="000000" w:themeColor="text1"/>
          <w:sz w:val="28"/>
          <w:szCs w:val="28"/>
          <w14:textFill>
            <w14:solidFill>
              <w14:schemeClr w14:val="tx1"/>
            </w14:solidFill>
          </w14:textFill>
        </w:rPr>
        <w:t>确认下列通讯方式及联系人是</w:t>
      </w:r>
      <w:r>
        <w:rPr>
          <w:rFonts w:hint="eastAsia" w:ascii="Times New Roman" w:hAnsi="Times New Roman" w:eastAsia="仿宋_GB2312" w:cs="Times New Roman"/>
          <w:color w:val="000000" w:themeColor="text1"/>
          <w:sz w:val="28"/>
          <w:szCs w:val="28"/>
          <w14:textFill>
            <w14:solidFill>
              <w14:schemeClr w14:val="tx1"/>
            </w14:solidFill>
          </w14:textFill>
        </w:rPr>
        <w:t>双方</w:t>
      </w:r>
      <w:r>
        <w:rPr>
          <w:rFonts w:ascii="Times New Roman" w:hAnsi="Times New Roman" w:eastAsia="仿宋_GB2312" w:cs="Times New Roman"/>
          <w:color w:val="000000" w:themeColor="text1"/>
          <w:sz w:val="28"/>
          <w:szCs w:val="28"/>
          <w14:textFill>
            <w14:solidFill>
              <w14:schemeClr w14:val="tx1"/>
            </w14:solidFill>
          </w14:textFill>
        </w:rPr>
        <w:t xml:space="preserve">履行通知义务的通讯方式及联系人： </w:t>
      </w:r>
    </w:p>
    <w:p w14:paraId="348992DA">
      <w:pPr>
        <w:snapToGrid w:val="0"/>
        <w:spacing w:line="560" w:lineRule="exact"/>
        <w:ind w:firstLine="560" w:firstLineChars="200"/>
        <w:rPr>
          <w:rFonts w:hint="default" w:ascii="Times New Roman" w:hAnsi="Times New Roman" w:eastAsia="仿宋_GB2312" w:cs="Times New Roman"/>
          <w:color w:val="000000" w:themeColor="text1"/>
          <w:sz w:val="28"/>
          <w:szCs w:val="28"/>
          <w:u w:val="singl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u w:val="single"/>
          <w14:textFill>
            <w14:solidFill>
              <w14:schemeClr w14:val="tx1"/>
            </w14:solidFill>
          </w14:textFill>
        </w:rPr>
        <w:t>甲方：</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海口市君成产业服务股份有限公司</w:t>
      </w:r>
    </w:p>
    <w:p w14:paraId="09A306A7">
      <w:pPr>
        <w:snapToGrid w:val="0"/>
        <w:spacing w:line="560" w:lineRule="exact"/>
        <w:ind w:firstLine="560" w:firstLineChars="200"/>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u w:val="single"/>
          <w14:textFill>
            <w14:solidFill>
              <w14:schemeClr w14:val="tx1"/>
            </w14:solidFill>
          </w14:textFill>
        </w:rPr>
        <w:t>联系人：</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p>
    <w:p w14:paraId="65A378D5">
      <w:pPr>
        <w:snapToGrid w:val="0"/>
        <w:spacing w:line="560" w:lineRule="exact"/>
        <w:ind w:firstLine="560" w:firstLineChars="200"/>
        <w:rPr>
          <w:rFonts w:hint="eastAsia" w:ascii="Times New Roman" w:hAnsi="Times New Roman" w:eastAsia="仿宋_GB2312" w:cs="Times New Roman"/>
          <w:color w:val="000000" w:themeColor="text1"/>
          <w:sz w:val="28"/>
          <w:szCs w:val="28"/>
          <w:u w:val="single"/>
          <w:lang w:eastAsia="zh-CN"/>
          <w14:textFill>
            <w14:solidFill>
              <w14:schemeClr w14:val="tx1"/>
            </w14:solidFill>
          </w14:textFill>
        </w:rPr>
      </w:pPr>
      <w:r>
        <w:rPr>
          <w:rFonts w:hint="eastAsia" w:ascii="Times New Roman" w:hAnsi="Times New Roman" w:eastAsia="仿宋_GB2312" w:cs="Times New Roman"/>
          <w:color w:val="000000" w:themeColor="text1"/>
          <w:sz w:val="28"/>
          <w:szCs w:val="28"/>
          <w:u w:val="single"/>
          <w14:textFill>
            <w14:solidFill>
              <w14:schemeClr w14:val="tx1"/>
            </w14:solidFill>
          </w14:textFill>
        </w:rPr>
        <w:t>联系电话：</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 xml:space="preserve"> </w:t>
      </w:r>
    </w:p>
    <w:p w14:paraId="7EBC0B11">
      <w:pPr>
        <w:snapToGrid w:val="0"/>
        <w:spacing w:line="560" w:lineRule="exact"/>
        <w:ind w:firstLine="560" w:firstLineChars="200"/>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u w:val="single"/>
          <w14:textFill>
            <w14:solidFill>
              <w14:schemeClr w14:val="tx1"/>
            </w14:solidFill>
          </w14:textFill>
        </w:rPr>
        <w:t>联系地址：</w:t>
      </w:r>
      <w:r>
        <w:rPr>
          <w:rFonts w:hint="eastAsia" w:ascii="Times New Roman" w:hAnsi="Times New Roman" w:eastAsia="仿宋_GB2312" w:cs="Times New Roman"/>
          <w:color w:val="000000" w:themeColor="text1"/>
          <w:kern w:val="2"/>
          <w:sz w:val="28"/>
          <w:szCs w:val="28"/>
          <w:u w:val="single"/>
          <w:lang w:val="en-US" w:eastAsia="zh-CN" w:bidi="ar"/>
          <w14:textFill>
            <w14:solidFill>
              <w14:schemeClr w14:val="tx1"/>
            </w14:solidFill>
          </w14:textFill>
        </w:rPr>
        <w:t>海南省海口市江东新区江东大道202号江东大厦C座3层</w:t>
      </w:r>
    </w:p>
    <w:p w14:paraId="3E1C2BF5">
      <w:pPr>
        <w:pStyle w:val="2"/>
        <w:spacing w:line="560" w:lineRule="exact"/>
        <w:rPr>
          <w:rFonts w:hint="default"/>
          <w:lang w:val="en-US" w:eastAsia="zh-CN"/>
        </w:rPr>
      </w:pPr>
    </w:p>
    <w:p w14:paraId="4DAAC15D">
      <w:pPr>
        <w:snapToGrid w:val="0"/>
        <w:spacing w:line="560" w:lineRule="exact"/>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乙方：</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p>
    <w:p w14:paraId="4281E706">
      <w:pPr>
        <w:snapToGrid w:val="0"/>
        <w:spacing w:line="560" w:lineRule="exact"/>
        <w:ind w:firstLine="560" w:firstLineChars="200"/>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联系人：</w:t>
      </w:r>
      <w:r>
        <w:rPr>
          <w:rFonts w:hint="eastAsia" w:ascii="Times New Roman" w:hAnsi="Times New Roman" w:eastAsia="仿宋_GB2312" w:cs="Times New Roman"/>
          <w:color w:val="000000" w:themeColor="text1"/>
          <w:sz w:val="28"/>
          <w:szCs w:val="28"/>
          <w:lang w:val="en-US" w:eastAsia="zh-CN"/>
          <w14:textFill>
            <w14:solidFill>
              <w14:schemeClr w14:val="tx1"/>
            </w14:solidFill>
          </w14:textFill>
        </w:rPr>
        <w:t xml:space="preserve"> </w:t>
      </w:r>
    </w:p>
    <w:p w14:paraId="1BDDC8DA">
      <w:pPr>
        <w:snapToGrid w:val="0"/>
        <w:spacing w:line="560" w:lineRule="exact"/>
        <w:ind w:firstLine="560" w:firstLineChars="200"/>
        <w:rPr>
          <w:rFonts w:hint="eastAsia"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联系电话：</w:t>
      </w:r>
    </w:p>
    <w:p w14:paraId="6260BD68">
      <w:pPr>
        <w:snapToGrid w:val="0"/>
        <w:spacing w:line="560" w:lineRule="exact"/>
        <w:ind w:firstLine="560" w:firstLineChars="200"/>
        <w:rPr>
          <w:rFonts w:hint="default" w:ascii="Times New Roman" w:hAnsi="Times New Roman" w:eastAsia="仿宋_GB2312" w:cs="Times New Roman"/>
          <w:color w:val="000000" w:themeColor="text1"/>
          <w:sz w:val="28"/>
          <w:szCs w:val="28"/>
          <w:lang w:val="en-US" w:eastAsia="zh-CN"/>
          <w14:textFill>
            <w14:solidFill>
              <w14:schemeClr w14:val="tx1"/>
            </w14:solidFill>
          </w14:textFill>
        </w:rPr>
      </w:pPr>
      <w:r>
        <w:rPr>
          <w:rFonts w:hint="eastAsia" w:ascii="Times New Roman" w:hAnsi="Times New Roman" w:eastAsia="仿宋_GB2312" w:cs="Times New Roman"/>
          <w:color w:val="000000" w:themeColor="text1"/>
          <w:sz w:val="28"/>
          <w:szCs w:val="28"/>
          <w14:textFill>
            <w14:solidFill>
              <w14:schemeClr w14:val="tx1"/>
            </w14:solidFill>
          </w14:textFill>
        </w:rPr>
        <w:t>联系地址：</w:t>
      </w:r>
    </w:p>
    <w:p w14:paraId="32EB3EB0">
      <w:pPr>
        <w:snapToGrid w:val="0"/>
        <w:spacing w:line="560" w:lineRule="exact"/>
        <w:ind w:firstLine="560" w:firstLineChars="200"/>
        <w:rPr>
          <w:rFonts w:ascii="Times New Roman" w:hAnsi="Times New Roman" w:eastAsia="仿宋_GB2312" w:cs="Times New Roman"/>
          <w:color w:val="000000" w:themeColor="text1"/>
          <w:sz w:val="28"/>
          <w:szCs w:val="28"/>
          <w:u w:val="single"/>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t>如果</w:t>
      </w:r>
      <w:r>
        <w:rPr>
          <w:rFonts w:hint="eastAsia" w:ascii="Times New Roman" w:hAnsi="Times New Roman" w:eastAsia="仿宋_GB2312" w:cs="Times New Roman"/>
          <w:color w:val="000000" w:themeColor="text1"/>
          <w:sz w:val="28"/>
          <w:szCs w:val="28"/>
          <w14:textFill>
            <w14:solidFill>
              <w14:schemeClr w14:val="tx1"/>
            </w14:solidFill>
          </w14:textFill>
        </w:rPr>
        <w:t>任一方</w:t>
      </w:r>
      <w:r>
        <w:rPr>
          <w:rFonts w:ascii="Times New Roman" w:hAnsi="Times New Roman" w:eastAsia="仿宋_GB2312" w:cs="Times New Roman"/>
          <w:color w:val="000000" w:themeColor="text1"/>
          <w:sz w:val="28"/>
          <w:szCs w:val="28"/>
          <w14:textFill>
            <w14:solidFill>
              <w14:schemeClr w14:val="tx1"/>
            </w14:solidFill>
          </w14:textFill>
        </w:rPr>
        <w:t>变更通讯方式或联系人，需提前七日书面通知</w:t>
      </w:r>
      <w:r>
        <w:rPr>
          <w:rFonts w:hint="eastAsia" w:ascii="Times New Roman" w:hAnsi="Times New Roman" w:eastAsia="仿宋_GB2312" w:cs="Times New Roman"/>
          <w:color w:val="000000" w:themeColor="text1"/>
          <w:sz w:val="28"/>
          <w:szCs w:val="28"/>
          <w14:textFill>
            <w14:solidFill>
              <w14:schemeClr w14:val="tx1"/>
            </w14:solidFill>
          </w14:textFill>
        </w:rPr>
        <w:t>对方</w:t>
      </w:r>
      <w:r>
        <w:rPr>
          <w:rFonts w:ascii="Times New Roman" w:hAnsi="Times New Roman" w:eastAsia="仿宋_GB2312" w:cs="Times New Roman"/>
          <w:color w:val="000000" w:themeColor="text1"/>
          <w:sz w:val="28"/>
          <w:szCs w:val="28"/>
          <w14:textFill>
            <w14:solidFill>
              <w14:schemeClr w14:val="tx1"/>
            </w14:solidFill>
          </w14:textFill>
        </w:rPr>
        <w:t>。</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263D7BDE">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第九条</w:t>
      </w:r>
      <w:r>
        <w:rPr>
          <w:rFonts w:hint="eastAsia" w:ascii="Times New Roman" w:hAnsi="Times New Roman" w:eastAsia="仿宋_GB2312" w:cs="Times New Roman"/>
          <w:b/>
          <w:bCs/>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因履行本合同发生争议，双方应友好协商；协商不成的，可选择下列第</w:t>
      </w:r>
      <w:r>
        <w:rPr>
          <w:rFonts w:hint="eastAsia" w:ascii="Times New Roman" w:hAnsi="Times New Roman" w:eastAsia="仿宋_GB2312" w:cs="Times New Roman"/>
          <w:color w:val="000000" w:themeColor="text1"/>
          <w:sz w:val="28"/>
          <w:szCs w:val="28"/>
          <w14:textFill>
            <w14:solidFill>
              <w14:schemeClr w14:val="tx1"/>
            </w14:solidFill>
          </w14:textFill>
        </w:rPr>
        <w:sym w:font="Wingdings 2" w:char="00A3"/>
      </w:r>
      <w:r>
        <w:rPr>
          <w:rFonts w:ascii="Times New Roman" w:hAnsi="Times New Roman" w:eastAsia="仿宋_GB2312" w:cs="Times New Roman"/>
          <w:color w:val="000000" w:themeColor="text1"/>
          <w:sz w:val="28"/>
          <w:szCs w:val="28"/>
          <w14:textFill>
            <w14:solidFill>
              <w14:schemeClr w14:val="tx1"/>
            </w14:solidFill>
          </w14:textFill>
        </w:rPr>
        <w:t xml:space="preserve">种方式解决。 </w:t>
      </w:r>
    </w:p>
    <w:p w14:paraId="67EED1F2">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1.</w:t>
      </w:r>
      <w:r>
        <w:rPr>
          <w:rFonts w:ascii="Times New Roman" w:hAnsi="Times New Roman" w:eastAsia="仿宋_GB2312" w:cs="Times New Roman"/>
          <w:color w:val="000000" w:themeColor="text1"/>
          <w:sz w:val="28"/>
          <w:szCs w:val="28"/>
          <w14:textFill>
            <w14:solidFill>
              <w14:schemeClr w14:val="tx1"/>
            </w14:solidFill>
          </w14:textFill>
        </w:rPr>
        <w:t xml:space="preserve">提交海南仲裁委员会仲裁； </w:t>
      </w:r>
    </w:p>
    <w:p w14:paraId="3171588D">
      <w:pPr>
        <w:snapToGrid w:val="0"/>
        <w:spacing w:line="560" w:lineRule="exact"/>
        <w:ind w:firstLine="560" w:firstLineChars="200"/>
        <w:rPr>
          <w:rFonts w:ascii="Times New Roman" w:hAnsi="Times New Roman" w:eastAsia="仿宋_GB2312" w:cs="Times New Roman"/>
          <w:color w:val="000000" w:themeColor="text1"/>
          <w:sz w:val="28"/>
          <w:szCs w:val="28"/>
          <w14:textFill>
            <w14:solidFill>
              <w14:schemeClr w14:val="tx1"/>
            </w14:solidFill>
          </w14:textFill>
        </w:rPr>
      </w:pPr>
      <w:r>
        <w:rPr>
          <w:rFonts w:hint="eastAsia" w:ascii="Times New Roman" w:hAnsi="Times New Roman" w:eastAsia="仿宋_GB2312" w:cs="Times New Roman"/>
          <w:color w:val="000000" w:themeColor="text1"/>
          <w:sz w:val="28"/>
          <w:szCs w:val="28"/>
          <w:lang w:eastAsia="zh-CN"/>
          <w14:textFill>
            <w14:solidFill>
              <w14:schemeClr w14:val="tx1"/>
            </w14:solidFill>
          </w14:textFill>
        </w:rPr>
        <w:t>2.</w:t>
      </w:r>
      <w:r>
        <w:rPr>
          <w:rFonts w:ascii="Times New Roman" w:hAnsi="Times New Roman" w:eastAsia="仿宋_GB2312" w:cs="Times New Roman"/>
          <w:color w:val="000000" w:themeColor="text1"/>
          <w:sz w:val="28"/>
          <w:szCs w:val="28"/>
          <w14:textFill>
            <w14:solidFill>
              <w14:schemeClr w14:val="tx1"/>
            </w14:solidFill>
          </w14:textFill>
        </w:rPr>
        <w:t xml:space="preserve">向人民法院提起诉讼。 </w:t>
      </w:r>
    </w:p>
    <w:p w14:paraId="54A0F672">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第十条</w:t>
      </w:r>
      <w:r>
        <w:rPr>
          <w:rFonts w:hint="eastAsia" w:ascii="Times New Roman" w:hAnsi="Times New Roman" w:eastAsia="仿宋_GB2312" w:cs="Times New Roman"/>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本合同一式</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陆</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份，双方各执</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lang w:val="en-US" w:eastAsia="zh-CN"/>
          <w14:textFill>
            <w14:solidFill>
              <w14:schemeClr w14:val="tx1"/>
            </w14:solidFill>
          </w14:textFill>
        </w:rPr>
        <w:t>叁</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 xml:space="preserve">份，自双方签字盖章之日起生效。 </w:t>
      </w:r>
    </w:p>
    <w:p w14:paraId="210DA111">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第十一条</w:t>
      </w:r>
      <w:r>
        <w:rPr>
          <w:rFonts w:hint="eastAsia" w:ascii="Times New Roman" w:hAnsi="Times New Roman" w:eastAsia="仿宋_GB2312" w:cs="Times New Roman"/>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甲方承诺：已认真审阅本合同所有格式条款并完全了解其详尽内容；本合同所有条款均属双方平等且完全协商一致而达成。 </w:t>
      </w:r>
    </w:p>
    <w:p w14:paraId="320FB541">
      <w:pPr>
        <w:snapToGrid w:val="0"/>
        <w:spacing w:line="560" w:lineRule="exact"/>
        <w:ind w:firstLine="562" w:firstLineChars="200"/>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bCs/>
          <w:color w:val="000000" w:themeColor="text1"/>
          <w:sz w:val="28"/>
          <w:szCs w:val="28"/>
          <w14:textFill>
            <w14:solidFill>
              <w14:schemeClr w14:val="tx1"/>
            </w14:solidFill>
          </w14:textFill>
        </w:rPr>
        <w:t>第十二条</w:t>
      </w:r>
      <w:r>
        <w:rPr>
          <w:rFonts w:hint="eastAsia" w:ascii="Times New Roman" w:hAnsi="Times New Roman" w:eastAsia="仿宋_GB2312" w:cs="Times New Roman"/>
          <w:color w:val="000000" w:themeColor="text1"/>
          <w:sz w:val="28"/>
          <w:szCs w:val="28"/>
          <w14:textFill>
            <w14:solidFill>
              <w14:schemeClr w14:val="tx1"/>
            </w14:solidFill>
          </w14:textFill>
        </w:rPr>
        <w:t>　</w:t>
      </w:r>
      <w:r>
        <w:rPr>
          <w:rFonts w:ascii="Times New Roman" w:hAnsi="Times New Roman" w:eastAsia="仿宋_GB2312" w:cs="Times New Roman"/>
          <w:color w:val="000000" w:themeColor="text1"/>
          <w:sz w:val="28"/>
          <w:szCs w:val="28"/>
          <w14:textFill>
            <w14:solidFill>
              <w14:schemeClr w14:val="tx1"/>
            </w14:solidFill>
          </w14:textFill>
        </w:rPr>
        <w:t xml:space="preserve">未尽事宜，双方可在本条另行特别约定： </w:t>
      </w:r>
    </w:p>
    <w:p w14:paraId="08DB5B33">
      <w:pPr>
        <w:snapToGrid w:val="0"/>
        <w:spacing w:line="384" w:lineRule="auto"/>
        <w:ind w:firstLine="560" w:firstLineChars="200"/>
        <w:rPr>
          <w:rFonts w:ascii="Times New Roman" w:hAnsi="Times New Roman" w:eastAsia="仿宋_GB2312" w:cs="Times New Roman"/>
          <w:color w:val="000000" w:themeColor="text1"/>
          <w:sz w:val="28"/>
          <w:szCs w:val="28"/>
          <w:u w:val="single"/>
          <w14:textFill>
            <w14:solidFill>
              <w14:schemeClr w14:val="tx1"/>
            </w14:solidFill>
          </w14:textFill>
        </w:rPr>
      </w:pP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14:textFill>
            <w14:solidFill>
              <w14:schemeClr w14:val="tx1"/>
            </w14:solidFill>
          </w14:textFill>
        </w:rPr>
        <w:t>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p>
    <w:p w14:paraId="3FEDD108">
      <w:pPr>
        <w:snapToGrid w:val="0"/>
        <w:spacing w:line="384"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hint="eastAsia" w:ascii="Times New Roman" w:hAnsi="Times New Roman" w:eastAsia="仿宋_GB2312" w:cs="Times New Roman"/>
          <w:color w:val="000000" w:themeColor="text1"/>
          <w:sz w:val="28"/>
          <w:szCs w:val="28"/>
          <w:u w:val="single"/>
          <w14:textFill>
            <w14:solidFill>
              <w14:schemeClr w14:val="tx1"/>
            </w14:solidFill>
          </w14:textFill>
        </w:rPr>
        <w:t>　　</w:t>
      </w:r>
      <w:r>
        <w:rPr>
          <w:rFonts w:ascii="Times New Roman" w:hAnsi="Times New Roman" w:eastAsia="仿宋_GB2312" w:cs="Times New Roman"/>
          <w:color w:val="000000" w:themeColor="text1"/>
          <w:sz w:val="28"/>
          <w:szCs w:val="28"/>
          <w:u w:val="single"/>
          <w14:textFill>
            <w14:solidFill>
              <w14:schemeClr w14:val="tx1"/>
            </w14:solidFill>
          </w14:textFill>
        </w:rPr>
        <w:t xml:space="preserve">                                                        </w:t>
      </w:r>
      <w:r>
        <w:rPr>
          <w:rFonts w:ascii="Times New Roman" w:hAnsi="Times New Roman" w:eastAsia="仿宋_GB2312" w:cs="Times New Roman"/>
          <w:color w:val="000000" w:themeColor="text1"/>
          <w:sz w:val="28"/>
          <w:szCs w:val="28"/>
          <w14:textFill>
            <w14:solidFill>
              <w14:schemeClr w14:val="tx1"/>
            </w14:solidFill>
          </w14:textFill>
        </w:rPr>
        <w:t>。</w:t>
      </w:r>
    </w:p>
    <w:tbl>
      <w:tblPr>
        <w:tblStyle w:val="10"/>
        <w:tblW w:w="0" w:type="auto"/>
        <w:tblInd w:w="617" w:type="dxa"/>
        <w:tblLayout w:type="fixed"/>
        <w:tblCellMar>
          <w:top w:w="0" w:type="dxa"/>
          <w:left w:w="0" w:type="dxa"/>
          <w:bottom w:w="0" w:type="dxa"/>
          <w:right w:w="0" w:type="dxa"/>
        </w:tblCellMar>
      </w:tblPr>
      <w:tblGrid>
        <w:gridCol w:w="3818"/>
        <w:gridCol w:w="4605"/>
      </w:tblGrid>
      <w:tr w14:paraId="0CEB8601">
        <w:tblPrEx>
          <w:tblCellMar>
            <w:top w:w="0" w:type="dxa"/>
            <w:left w:w="0" w:type="dxa"/>
            <w:bottom w:w="0" w:type="dxa"/>
            <w:right w:w="0" w:type="dxa"/>
          </w:tblCellMar>
        </w:tblPrEx>
        <w:trPr>
          <w:trHeight w:val="424" w:hRule="atLeast"/>
        </w:trPr>
        <w:tc>
          <w:tcPr>
            <w:tcW w:w="3818" w:type="dxa"/>
          </w:tcPr>
          <w:p w14:paraId="1D59F67C">
            <w:pPr>
              <w:pStyle w:val="12"/>
              <w:spacing w:before="0" w:line="400" w:lineRule="exact"/>
              <w:rPr>
                <w:rFonts w:ascii="Times New Roman" w:hAnsi="Times New Roman" w:cs="Times New Roman"/>
                <w:sz w:val="28"/>
              </w:rPr>
            </w:pPr>
          </w:p>
          <w:p w14:paraId="33B3C54A">
            <w:pPr>
              <w:pStyle w:val="12"/>
              <w:spacing w:before="0" w:line="400" w:lineRule="exact"/>
              <w:rPr>
                <w:rFonts w:hint="default" w:ascii="Times New Roman" w:hAnsi="Times New Roman" w:eastAsia="仿宋_GB2312" w:cs="Times New Roman"/>
                <w:sz w:val="28"/>
                <w:lang w:val="en-US" w:eastAsia="zh-CN"/>
              </w:rPr>
            </w:pPr>
            <w:r>
              <w:rPr>
                <w:rFonts w:ascii="Times New Roman" w:hAnsi="Times New Roman" w:cs="Times New Roman"/>
                <w:sz w:val="28"/>
              </w:rPr>
              <w:t>甲方：</w:t>
            </w:r>
            <w:r>
              <w:rPr>
                <w:rFonts w:hint="eastAsia" w:ascii="Times New Roman" w:hAnsi="Times New Roman" w:eastAsia="仿宋_GB2312" w:cs="Times New Roman"/>
                <w:b w:val="0"/>
                <w:bCs w:val="0"/>
                <w:color w:val="000000" w:themeColor="text1"/>
                <w:sz w:val="28"/>
                <w:szCs w:val="28"/>
                <w:lang w:val="en-US" w:eastAsia="zh-CN"/>
                <w14:textFill>
                  <w14:solidFill>
                    <w14:schemeClr w14:val="tx1"/>
                  </w14:solidFill>
                </w14:textFill>
              </w:rPr>
              <w:t>海口市君成产业服务股份有限公司</w:t>
            </w:r>
          </w:p>
        </w:tc>
        <w:tc>
          <w:tcPr>
            <w:tcW w:w="4605" w:type="dxa"/>
          </w:tcPr>
          <w:p w14:paraId="72900AA8">
            <w:pPr>
              <w:pStyle w:val="12"/>
              <w:spacing w:before="0" w:line="400" w:lineRule="exact"/>
              <w:ind w:left="1047"/>
              <w:rPr>
                <w:rFonts w:ascii="Times New Roman" w:hAnsi="Times New Roman" w:cs="Times New Roman"/>
                <w:sz w:val="28"/>
              </w:rPr>
            </w:pPr>
          </w:p>
          <w:p w14:paraId="4A590AB7">
            <w:pPr>
              <w:pStyle w:val="12"/>
              <w:spacing w:before="0" w:line="400" w:lineRule="exact"/>
              <w:ind w:left="0"/>
              <w:rPr>
                <w:rFonts w:ascii="Times New Roman" w:hAnsi="Times New Roman" w:cs="Times New Roman"/>
                <w:sz w:val="28"/>
              </w:rPr>
            </w:pPr>
            <w:r>
              <w:rPr>
                <w:rFonts w:ascii="Times New Roman" w:hAnsi="Times New Roman" w:cs="Times New Roman"/>
                <w:sz w:val="28"/>
              </w:rPr>
              <w:t>乙方：</w:t>
            </w:r>
            <w:r>
              <w:rPr>
                <w:rFonts w:hint="eastAsia" w:ascii="Times New Roman" w:hAnsi="Times New Roman" w:cs="Times New Roman"/>
                <w:sz w:val="28"/>
                <w:lang w:val="en-US" w:eastAsia="zh-CN"/>
              </w:rPr>
              <w:t xml:space="preserve"> </w:t>
            </w:r>
          </w:p>
        </w:tc>
      </w:tr>
      <w:tr w14:paraId="08F070FA">
        <w:tblPrEx>
          <w:tblCellMar>
            <w:top w:w="0" w:type="dxa"/>
            <w:left w:w="0" w:type="dxa"/>
            <w:bottom w:w="0" w:type="dxa"/>
            <w:right w:w="0" w:type="dxa"/>
          </w:tblCellMar>
        </w:tblPrEx>
        <w:trPr>
          <w:trHeight w:val="568" w:hRule="atLeast"/>
        </w:trPr>
        <w:tc>
          <w:tcPr>
            <w:tcW w:w="3818" w:type="dxa"/>
          </w:tcPr>
          <w:p w14:paraId="3E0AAF43">
            <w:pPr>
              <w:pStyle w:val="12"/>
              <w:spacing w:line="400" w:lineRule="exact"/>
              <w:rPr>
                <w:rFonts w:hint="eastAsia" w:ascii="Times New Roman" w:hAnsi="Times New Roman" w:eastAsia="仿宋_GB2312" w:cs="Times New Roman"/>
                <w:sz w:val="28"/>
                <w:lang w:val="en-US" w:eastAsia="zh-CN"/>
              </w:rPr>
            </w:pPr>
            <w:r>
              <w:rPr>
                <w:rFonts w:ascii="Times New Roman" w:hAnsi="Times New Roman" w:cs="Times New Roman"/>
                <w:sz w:val="28"/>
              </w:rPr>
              <w:t>法定代表人：</w:t>
            </w:r>
          </w:p>
        </w:tc>
        <w:tc>
          <w:tcPr>
            <w:tcW w:w="4605" w:type="dxa"/>
          </w:tcPr>
          <w:p w14:paraId="4FD83F06">
            <w:pPr>
              <w:pStyle w:val="12"/>
              <w:spacing w:line="400" w:lineRule="exact"/>
              <w:ind w:left="0"/>
              <w:rPr>
                <w:rFonts w:ascii="Times New Roman" w:hAnsi="Times New Roman" w:cs="Times New Roman"/>
                <w:sz w:val="28"/>
              </w:rPr>
            </w:pPr>
            <w:r>
              <w:rPr>
                <w:rFonts w:ascii="Times New Roman" w:hAnsi="Times New Roman" w:cs="Times New Roman"/>
                <w:sz w:val="28"/>
              </w:rPr>
              <w:t>法定代表人：</w:t>
            </w:r>
          </w:p>
        </w:tc>
      </w:tr>
      <w:tr w14:paraId="5173F3F7">
        <w:tblPrEx>
          <w:tblCellMar>
            <w:top w:w="0" w:type="dxa"/>
            <w:left w:w="0" w:type="dxa"/>
            <w:bottom w:w="0" w:type="dxa"/>
            <w:right w:w="0" w:type="dxa"/>
          </w:tblCellMar>
        </w:tblPrEx>
        <w:trPr>
          <w:trHeight w:val="567" w:hRule="atLeast"/>
        </w:trPr>
        <w:tc>
          <w:tcPr>
            <w:tcW w:w="3818" w:type="dxa"/>
          </w:tcPr>
          <w:p w14:paraId="2CCC4315">
            <w:pPr>
              <w:pStyle w:val="12"/>
              <w:spacing w:line="400" w:lineRule="exact"/>
              <w:rPr>
                <w:rFonts w:ascii="Times New Roman" w:hAnsi="Times New Roman" w:cs="Times New Roman"/>
                <w:sz w:val="28"/>
              </w:rPr>
            </w:pPr>
            <w:r>
              <w:rPr>
                <w:rFonts w:ascii="Times New Roman" w:hAnsi="Times New Roman" w:cs="Times New Roman"/>
                <w:sz w:val="28"/>
              </w:rPr>
              <w:t>地址：</w:t>
            </w:r>
          </w:p>
        </w:tc>
        <w:tc>
          <w:tcPr>
            <w:tcW w:w="4605" w:type="dxa"/>
          </w:tcPr>
          <w:p w14:paraId="39D26A59">
            <w:pPr>
              <w:pStyle w:val="12"/>
              <w:spacing w:line="400" w:lineRule="exact"/>
              <w:ind w:left="0"/>
              <w:rPr>
                <w:rFonts w:hint="eastAsia" w:ascii="Times New Roman" w:hAnsi="Times New Roman" w:eastAsia="仿宋_GB2312" w:cs="Times New Roman"/>
                <w:sz w:val="28"/>
                <w:lang w:eastAsia="zh-CN"/>
              </w:rPr>
            </w:pPr>
            <w:r>
              <w:rPr>
                <w:rFonts w:ascii="Times New Roman" w:hAnsi="Times New Roman" w:cs="Times New Roman"/>
                <w:sz w:val="28"/>
              </w:rPr>
              <w:t>地址：</w:t>
            </w:r>
            <w:r>
              <w:rPr>
                <w:rFonts w:hint="eastAsia" w:ascii="仿宋" w:hAnsi="仿宋" w:eastAsia="仿宋" w:cs="仿宋"/>
                <w:color w:val="000000"/>
                <w:spacing w:val="-17"/>
                <w:w w:val="90"/>
                <w:sz w:val="24"/>
                <w:lang w:val="en-US" w:eastAsia="zh-CN"/>
              </w:rPr>
              <w:t xml:space="preserve"> </w:t>
            </w:r>
          </w:p>
        </w:tc>
      </w:tr>
      <w:tr w14:paraId="704A0FC7">
        <w:tblPrEx>
          <w:tblCellMar>
            <w:top w:w="0" w:type="dxa"/>
            <w:left w:w="0" w:type="dxa"/>
            <w:bottom w:w="0" w:type="dxa"/>
            <w:right w:w="0" w:type="dxa"/>
          </w:tblCellMar>
        </w:tblPrEx>
        <w:trPr>
          <w:trHeight w:val="567" w:hRule="atLeast"/>
        </w:trPr>
        <w:tc>
          <w:tcPr>
            <w:tcW w:w="3818" w:type="dxa"/>
          </w:tcPr>
          <w:p w14:paraId="7680A943">
            <w:pPr>
              <w:pStyle w:val="12"/>
              <w:spacing w:before="104" w:line="400" w:lineRule="exact"/>
              <w:rPr>
                <w:rFonts w:ascii="Times New Roman" w:hAnsi="Times New Roman" w:cs="Times New Roman"/>
                <w:sz w:val="28"/>
              </w:rPr>
            </w:pPr>
            <w:r>
              <w:rPr>
                <w:rFonts w:ascii="Times New Roman" w:hAnsi="Times New Roman" w:cs="Times New Roman"/>
                <w:sz w:val="28"/>
              </w:rPr>
              <w:t>电话：</w:t>
            </w:r>
          </w:p>
        </w:tc>
        <w:tc>
          <w:tcPr>
            <w:tcW w:w="4605" w:type="dxa"/>
          </w:tcPr>
          <w:p w14:paraId="5913C7E6">
            <w:pPr>
              <w:pStyle w:val="12"/>
              <w:spacing w:before="104" w:line="400" w:lineRule="exact"/>
              <w:ind w:left="0"/>
              <w:rPr>
                <w:rFonts w:hint="eastAsia" w:ascii="Times New Roman" w:hAnsi="Times New Roman" w:eastAsia="仿宋_GB2312" w:cs="Times New Roman"/>
                <w:sz w:val="28"/>
                <w:lang w:eastAsia="zh-CN"/>
              </w:rPr>
            </w:pPr>
            <w:r>
              <w:rPr>
                <w:rFonts w:ascii="Times New Roman" w:hAnsi="Times New Roman" w:cs="Times New Roman"/>
                <w:sz w:val="28"/>
              </w:rPr>
              <w:t>电话：</w:t>
            </w:r>
            <w:r>
              <w:rPr>
                <w:rFonts w:hint="eastAsia" w:ascii="仿宋" w:hAnsi="仿宋" w:eastAsia="仿宋" w:cs="仿宋"/>
                <w:color w:val="000000"/>
                <w:sz w:val="28"/>
                <w:szCs w:val="28"/>
                <w:lang w:val="en-US" w:eastAsia="zh-CN"/>
              </w:rPr>
              <w:t xml:space="preserve"> </w:t>
            </w:r>
          </w:p>
        </w:tc>
      </w:tr>
      <w:tr w14:paraId="26E7A3DE">
        <w:tblPrEx>
          <w:tblCellMar>
            <w:top w:w="0" w:type="dxa"/>
            <w:left w:w="0" w:type="dxa"/>
            <w:bottom w:w="0" w:type="dxa"/>
            <w:right w:w="0" w:type="dxa"/>
          </w:tblCellMar>
        </w:tblPrEx>
        <w:trPr>
          <w:trHeight w:val="568" w:hRule="atLeast"/>
        </w:trPr>
        <w:tc>
          <w:tcPr>
            <w:tcW w:w="3818" w:type="dxa"/>
          </w:tcPr>
          <w:p w14:paraId="3B35AE3E">
            <w:pPr>
              <w:pStyle w:val="12"/>
              <w:spacing w:line="400" w:lineRule="exact"/>
              <w:rPr>
                <w:rFonts w:ascii="Times New Roman" w:hAnsi="Times New Roman" w:cs="Times New Roman"/>
                <w:sz w:val="28"/>
              </w:rPr>
            </w:pPr>
            <w:r>
              <w:rPr>
                <w:rFonts w:ascii="Times New Roman" w:hAnsi="Times New Roman" w:cs="Times New Roman"/>
                <w:sz w:val="28"/>
              </w:rPr>
              <w:t>开户行：</w:t>
            </w:r>
          </w:p>
        </w:tc>
        <w:tc>
          <w:tcPr>
            <w:tcW w:w="4605" w:type="dxa"/>
          </w:tcPr>
          <w:p w14:paraId="24F295DF">
            <w:pPr>
              <w:pStyle w:val="12"/>
              <w:spacing w:line="400" w:lineRule="exact"/>
              <w:ind w:left="0"/>
              <w:rPr>
                <w:rFonts w:hint="eastAsia" w:ascii="Times New Roman" w:hAnsi="Times New Roman" w:eastAsia="仿宋_GB2312" w:cs="Times New Roman"/>
                <w:sz w:val="28"/>
                <w:lang w:eastAsia="zh-CN"/>
              </w:rPr>
            </w:pPr>
            <w:r>
              <w:rPr>
                <w:rFonts w:ascii="Times New Roman" w:hAnsi="Times New Roman" w:cs="Times New Roman"/>
                <w:sz w:val="28"/>
              </w:rPr>
              <w:t>开户行：</w:t>
            </w:r>
            <w:r>
              <w:rPr>
                <w:rFonts w:hint="eastAsia" w:ascii="仿宋" w:hAnsi="仿宋" w:eastAsia="仿宋" w:cs="仿宋"/>
                <w:color w:val="000000"/>
                <w:sz w:val="28"/>
                <w:szCs w:val="28"/>
                <w:lang w:val="en-US" w:eastAsia="zh-CN"/>
              </w:rPr>
              <w:t xml:space="preserve"> </w:t>
            </w:r>
          </w:p>
        </w:tc>
      </w:tr>
      <w:tr w14:paraId="1E492FFA">
        <w:tblPrEx>
          <w:tblCellMar>
            <w:top w:w="0" w:type="dxa"/>
            <w:left w:w="0" w:type="dxa"/>
            <w:bottom w:w="0" w:type="dxa"/>
            <w:right w:w="0" w:type="dxa"/>
          </w:tblCellMar>
        </w:tblPrEx>
        <w:trPr>
          <w:trHeight w:val="424" w:hRule="atLeast"/>
        </w:trPr>
        <w:tc>
          <w:tcPr>
            <w:tcW w:w="3818" w:type="dxa"/>
          </w:tcPr>
          <w:p w14:paraId="084EBD4A">
            <w:pPr>
              <w:pStyle w:val="12"/>
              <w:spacing w:line="400" w:lineRule="exact"/>
              <w:rPr>
                <w:rFonts w:ascii="Times New Roman" w:hAnsi="Times New Roman" w:cs="Times New Roman"/>
                <w:sz w:val="28"/>
              </w:rPr>
            </w:pPr>
            <w:r>
              <w:rPr>
                <w:rFonts w:hint="eastAsia" w:ascii="Times New Roman" w:hAnsi="Times New Roman" w:cs="Times New Roman"/>
                <w:sz w:val="28"/>
                <w:lang w:eastAsia="zh-CN"/>
              </w:rPr>
              <w:t>账号</w:t>
            </w:r>
            <w:r>
              <w:rPr>
                <w:rFonts w:ascii="Times New Roman" w:hAnsi="Times New Roman" w:cs="Times New Roman"/>
                <w:sz w:val="28"/>
              </w:rPr>
              <w:t>：</w:t>
            </w:r>
          </w:p>
        </w:tc>
        <w:tc>
          <w:tcPr>
            <w:tcW w:w="4605" w:type="dxa"/>
          </w:tcPr>
          <w:p w14:paraId="06D680A5">
            <w:pPr>
              <w:pStyle w:val="12"/>
              <w:spacing w:line="400" w:lineRule="exact"/>
              <w:ind w:left="0"/>
              <w:rPr>
                <w:rFonts w:hint="eastAsia" w:ascii="Times New Roman" w:hAnsi="Times New Roman" w:eastAsia="仿宋_GB2312" w:cs="Times New Roman"/>
                <w:sz w:val="28"/>
                <w:lang w:eastAsia="zh-CN"/>
              </w:rPr>
            </w:pPr>
            <w:r>
              <w:rPr>
                <w:rFonts w:hint="eastAsia" w:ascii="Times New Roman" w:hAnsi="Times New Roman" w:cs="Times New Roman"/>
                <w:sz w:val="28"/>
                <w:lang w:eastAsia="zh-CN"/>
              </w:rPr>
              <w:t>账号</w:t>
            </w:r>
            <w:r>
              <w:rPr>
                <w:rFonts w:ascii="Times New Roman" w:hAnsi="Times New Roman" w:cs="Times New Roman"/>
                <w:sz w:val="28"/>
              </w:rPr>
              <w:t>：</w:t>
            </w:r>
            <w:r>
              <w:rPr>
                <w:rFonts w:hint="eastAsia" w:ascii="仿宋" w:hAnsi="仿宋" w:eastAsia="仿宋" w:cs="仿宋"/>
                <w:color w:val="000000"/>
                <w:sz w:val="28"/>
                <w:szCs w:val="28"/>
                <w:lang w:val="en-US" w:eastAsia="zh-CN"/>
              </w:rPr>
              <w:t xml:space="preserve"> </w:t>
            </w:r>
          </w:p>
        </w:tc>
      </w:tr>
      <w:tr w14:paraId="4672A1EB">
        <w:tblPrEx>
          <w:tblCellMar>
            <w:top w:w="0" w:type="dxa"/>
            <w:left w:w="0" w:type="dxa"/>
            <w:bottom w:w="0" w:type="dxa"/>
            <w:right w:w="0" w:type="dxa"/>
          </w:tblCellMar>
        </w:tblPrEx>
        <w:trPr>
          <w:trHeight w:val="424" w:hRule="atLeast"/>
        </w:trPr>
        <w:tc>
          <w:tcPr>
            <w:tcW w:w="3818" w:type="dxa"/>
          </w:tcPr>
          <w:p w14:paraId="32CDF0AA">
            <w:pPr>
              <w:pStyle w:val="12"/>
              <w:spacing w:line="400" w:lineRule="exact"/>
              <w:rPr>
                <w:rFonts w:hint="default" w:ascii="Times New Roman" w:hAnsi="Times New Roman" w:eastAsia="仿宋_GB2312" w:cs="Times New Roman"/>
                <w:sz w:val="28"/>
                <w:lang w:val="en-US" w:eastAsia="zh-CN"/>
              </w:rPr>
            </w:pPr>
            <w:r>
              <w:rPr>
                <w:rFonts w:hint="eastAsia" w:ascii="Times New Roman" w:hAnsi="Times New Roman" w:cs="Times New Roman"/>
                <w:sz w:val="28"/>
                <w:lang w:val="en-US" w:eastAsia="zh-CN"/>
              </w:rPr>
              <w:t>经办人：</w:t>
            </w:r>
          </w:p>
        </w:tc>
        <w:tc>
          <w:tcPr>
            <w:tcW w:w="4605" w:type="dxa"/>
          </w:tcPr>
          <w:p w14:paraId="2224DC68">
            <w:pPr>
              <w:pStyle w:val="12"/>
              <w:spacing w:line="400" w:lineRule="exact"/>
              <w:ind w:left="0"/>
              <w:rPr>
                <w:rFonts w:hint="eastAsia" w:ascii="Times New Roman" w:hAnsi="Times New Roman" w:eastAsia="仿宋_GB2312" w:cs="Times New Roman"/>
                <w:sz w:val="28"/>
                <w:lang w:val="en-US" w:eastAsia="zh-CN"/>
              </w:rPr>
            </w:pPr>
            <w:r>
              <w:rPr>
                <w:rFonts w:hint="eastAsia" w:ascii="Times New Roman" w:hAnsi="Times New Roman" w:cs="Times New Roman"/>
                <w:sz w:val="28"/>
                <w:lang w:val="en-US" w:eastAsia="zh-CN"/>
              </w:rPr>
              <w:t>经办人：</w:t>
            </w:r>
          </w:p>
        </w:tc>
      </w:tr>
    </w:tbl>
    <w:p w14:paraId="4D051E8F">
      <w:pPr>
        <w:pStyle w:val="4"/>
        <w:tabs>
          <w:tab w:val="left" w:pos="7183"/>
          <w:tab w:val="left" w:pos="8162"/>
          <w:tab w:val="left" w:pos="9002"/>
        </w:tabs>
        <w:spacing w:before="61"/>
        <w:ind w:left="4524"/>
        <w:rPr>
          <w:rFonts w:ascii="Times New Roman" w:hAnsi="Times New Roman" w:cs="Times New Roman"/>
        </w:rPr>
      </w:pPr>
      <w:r>
        <w:rPr>
          <w:rFonts w:ascii="Times New Roman" w:hAnsi="Times New Roman" w:cs="Times New Roman"/>
        </w:rPr>
        <w:t>签约日</w:t>
      </w:r>
      <w:r>
        <w:rPr>
          <w:rFonts w:ascii="Times New Roman" w:hAnsi="Times New Roman" w:cs="Times New Roman"/>
          <w:spacing w:val="-3"/>
        </w:rPr>
        <w:t>期</w:t>
      </w:r>
      <w:r>
        <w:rPr>
          <w:rFonts w:ascii="Times New Roman" w:hAnsi="Times New Roman" w:cs="Times New Roman"/>
        </w:rPr>
        <w:t>：</w:t>
      </w:r>
      <w:r>
        <w:rPr>
          <w:rFonts w:hint="eastAsia" w:ascii="Times New Roman" w:hAnsi="Times New Roman" w:cs="Times New Roman"/>
          <w:lang w:val="en-US" w:eastAsia="zh-CN"/>
        </w:rPr>
        <w:t xml:space="preserve"> </w:t>
      </w:r>
      <w:r>
        <w:rPr>
          <w:rFonts w:hint="eastAsia" w:ascii="Times New Roman" w:hAnsi="Times New Roman" w:cs="Times New Roman"/>
        </w:rPr>
        <w:t>　</w:t>
      </w:r>
      <w:r>
        <w:rPr>
          <w:rFonts w:ascii="Times New Roman" w:hAnsi="Times New Roman" w:cs="Times New Roman"/>
        </w:rPr>
        <w:t>年</w:t>
      </w:r>
      <w:r>
        <w:rPr>
          <w:rFonts w:hint="eastAsia" w:ascii="Times New Roman" w:hAnsi="Times New Roman" w:cs="Times New Roman"/>
        </w:rPr>
        <w:t>　</w:t>
      </w:r>
      <w:r>
        <w:rPr>
          <w:rFonts w:hint="eastAsia" w:ascii="Times New Roman" w:hAnsi="Times New Roman" w:cs="Times New Roman"/>
          <w:lang w:val="en-US" w:eastAsia="zh-CN"/>
        </w:rPr>
        <w:t xml:space="preserve"> </w:t>
      </w:r>
      <w:r>
        <w:rPr>
          <w:rFonts w:ascii="Times New Roman" w:hAnsi="Times New Roman" w:cs="Times New Roman"/>
        </w:rPr>
        <w:t>月</w:t>
      </w:r>
      <w:r>
        <w:rPr>
          <w:rFonts w:hint="eastAsia" w:ascii="Times New Roman" w:hAnsi="Times New Roman" w:cs="Times New Roman"/>
          <w:lang w:val="en-US" w:eastAsia="zh-CN"/>
        </w:rPr>
        <w:t xml:space="preserve">  </w:t>
      </w:r>
      <w:r>
        <w:rPr>
          <w:rFonts w:hint="eastAsia" w:ascii="Times New Roman" w:hAnsi="Times New Roman" w:cs="Times New Roman"/>
        </w:rPr>
        <w:t>　</w:t>
      </w:r>
      <w:r>
        <w:rPr>
          <w:rFonts w:ascii="Times New Roman" w:hAnsi="Times New Roman" w:cs="Times New Roman"/>
        </w:rPr>
        <w:t>日</w:t>
      </w:r>
    </w:p>
    <w:p w14:paraId="7A03E906">
      <w:pPr>
        <w:pStyle w:val="4"/>
        <w:spacing w:before="8"/>
        <w:rPr>
          <w:rFonts w:ascii="Times New Roman" w:hAnsi="Times New Roman" w:cs="Times New Roman"/>
          <w:sz w:val="25"/>
        </w:rPr>
      </w:pPr>
    </w:p>
    <w:p w14:paraId="6B4C9838">
      <w:pPr>
        <w:snapToGrid w:val="0"/>
        <w:spacing w:line="384" w:lineRule="auto"/>
        <w:ind w:firstLine="560" w:firstLineChars="200"/>
        <w:rPr>
          <w:rFonts w:hint="eastAsia" w:ascii="Times New Roman" w:hAnsi="Times New Roman" w:eastAsia="仿宋_GB2312" w:cs="Times New Roman"/>
          <w:sz w:val="28"/>
          <w:szCs w:val="28"/>
        </w:rPr>
      </w:pPr>
      <w:r>
        <w:rPr>
          <w:rFonts w:ascii="Times New Roman" w:hAnsi="Times New Roman" w:eastAsia="仿宋_GB2312" w:cs="Times New Roman"/>
          <w:sz w:val="28"/>
          <w:szCs w:val="28"/>
        </w:rPr>
        <w:t>海南省法律服务监督投诉电话：（0898）65919</w:t>
      </w:r>
      <w:r>
        <w:rPr>
          <w:rFonts w:hint="eastAsia" w:ascii="Times New Roman" w:hAnsi="Times New Roman" w:eastAsia="仿宋_GB2312" w:cs="Times New Roman"/>
          <w:sz w:val="28"/>
          <w:szCs w:val="28"/>
        </w:rPr>
        <w:t>109</w:t>
      </w:r>
      <w:r>
        <w:rPr>
          <w:rFonts w:ascii="Times New Roman" w:hAnsi="Times New Roman" w:eastAsia="仿宋_GB2312" w:cs="Times New Roman"/>
          <w:sz w:val="28"/>
          <w:szCs w:val="28"/>
        </w:rPr>
        <w:t>、6616</w:t>
      </w:r>
      <w:r>
        <w:rPr>
          <w:rFonts w:hint="eastAsia" w:ascii="Times New Roman" w:hAnsi="Times New Roman" w:eastAsia="仿宋_GB2312" w:cs="Times New Roman"/>
          <w:sz w:val="28"/>
          <w:szCs w:val="28"/>
        </w:rPr>
        <w:t>1215</w:t>
      </w:r>
    </w:p>
    <w:p w14:paraId="167C555E">
      <w:pPr>
        <w:pStyle w:val="2"/>
        <w:rPr>
          <w:rFonts w:hint="eastAsia" w:ascii="Times New Roman" w:hAnsi="Times New Roman" w:eastAsia="仿宋_GB2312" w:cs="Times New Roman"/>
          <w:sz w:val="28"/>
          <w:szCs w:val="28"/>
        </w:rPr>
      </w:pPr>
    </w:p>
    <w:p w14:paraId="72494FC0">
      <w:pPr>
        <w:pStyle w:val="2"/>
        <w:rPr>
          <w:rFonts w:hint="eastAsia" w:ascii="Times New Roman" w:hAnsi="Times New Roman" w:eastAsia="仿宋_GB2312" w:cs="Times New Roman"/>
          <w:sz w:val="28"/>
          <w:szCs w:val="28"/>
        </w:rPr>
      </w:pPr>
    </w:p>
    <w:p w14:paraId="63B2DF58">
      <w:pPr>
        <w:pStyle w:val="2"/>
        <w:rPr>
          <w:rFonts w:hint="eastAsia" w:ascii="Times New Roman" w:hAnsi="Times New Roman" w:eastAsia="仿宋_GB2312" w:cs="Times New Roman"/>
          <w:sz w:val="28"/>
          <w:szCs w:val="28"/>
        </w:rPr>
      </w:pPr>
    </w:p>
    <w:p w14:paraId="4CE6AD93">
      <w:pPr>
        <w:pStyle w:val="2"/>
        <w:rPr>
          <w:rFonts w:hint="eastAsia" w:ascii="Times New Roman" w:hAnsi="Times New Roman" w:eastAsia="仿宋_GB2312" w:cs="Times New Roman"/>
          <w:sz w:val="28"/>
          <w:szCs w:val="28"/>
        </w:rPr>
      </w:pPr>
    </w:p>
    <w:p w14:paraId="389EAE9A">
      <w:pPr>
        <w:pStyle w:val="2"/>
        <w:rPr>
          <w:rFonts w:hint="eastAsia" w:ascii="Times New Roman" w:hAnsi="Times New Roman" w:eastAsia="仿宋_GB2312" w:cs="Times New Roman"/>
          <w:sz w:val="28"/>
          <w:szCs w:val="28"/>
        </w:rPr>
      </w:pPr>
    </w:p>
    <w:p w14:paraId="0B4EA6C3">
      <w:pPr>
        <w:pStyle w:val="2"/>
        <w:rPr>
          <w:rFonts w:hint="eastAsia" w:ascii="Times New Roman" w:hAnsi="Times New Roman" w:eastAsia="仿宋_GB2312" w:cs="Times New Roman"/>
          <w:sz w:val="28"/>
          <w:szCs w:val="28"/>
        </w:rPr>
      </w:pPr>
    </w:p>
    <w:p w14:paraId="425548ED">
      <w:pPr>
        <w:pStyle w:val="2"/>
        <w:rPr>
          <w:rFonts w:hint="eastAsia" w:ascii="Times New Roman" w:hAnsi="Times New Roman" w:eastAsia="仿宋_GB2312" w:cs="Times New Roman"/>
          <w:sz w:val="28"/>
          <w:szCs w:val="28"/>
        </w:rPr>
      </w:pPr>
    </w:p>
    <w:p w14:paraId="0FCFF1E8">
      <w:pPr>
        <w:pStyle w:val="2"/>
        <w:rPr>
          <w:rFonts w:hint="eastAsia" w:ascii="Times New Roman" w:hAnsi="Times New Roman" w:eastAsia="仿宋_GB2312" w:cs="Times New Roman"/>
          <w:sz w:val="28"/>
          <w:szCs w:val="28"/>
        </w:rPr>
      </w:pPr>
    </w:p>
    <w:p w14:paraId="760F43D7">
      <w:pPr>
        <w:pStyle w:val="2"/>
        <w:rPr>
          <w:rFonts w:hint="eastAsia" w:ascii="Times New Roman" w:hAnsi="Times New Roman" w:eastAsia="仿宋_GB2312" w:cs="Times New Roman"/>
          <w:sz w:val="28"/>
          <w:szCs w:val="28"/>
        </w:rPr>
      </w:pPr>
    </w:p>
    <w:p w14:paraId="70DE1424">
      <w:pPr>
        <w:pStyle w:val="2"/>
        <w:rPr>
          <w:rFonts w:hint="eastAsia" w:ascii="Times New Roman" w:hAnsi="Times New Roman" w:eastAsia="仿宋_GB2312" w:cs="Times New Roman"/>
          <w:sz w:val="28"/>
          <w:szCs w:val="28"/>
        </w:rPr>
      </w:pPr>
    </w:p>
    <w:p w14:paraId="24150999">
      <w:pPr>
        <w:pStyle w:val="2"/>
        <w:rPr>
          <w:rFonts w:hint="eastAsia" w:ascii="Times New Roman" w:hAnsi="Times New Roman" w:eastAsia="仿宋_GB2312" w:cs="Times New Roman"/>
          <w:sz w:val="28"/>
          <w:szCs w:val="28"/>
        </w:rPr>
      </w:pPr>
    </w:p>
    <w:p w14:paraId="7B9AF17C">
      <w:pPr>
        <w:pStyle w:val="2"/>
        <w:rPr>
          <w:rFonts w:hint="eastAsia" w:ascii="Times New Roman" w:hAnsi="Times New Roman" w:eastAsia="仿宋_GB2312" w:cs="Times New Roman"/>
          <w:sz w:val="28"/>
          <w:szCs w:val="28"/>
        </w:rPr>
      </w:pPr>
    </w:p>
    <w:p w14:paraId="7DB5314D">
      <w:pPr>
        <w:pStyle w:val="2"/>
        <w:rPr>
          <w:rFonts w:hint="eastAsia" w:ascii="Times New Roman" w:hAnsi="Times New Roman" w:eastAsia="仿宋_GB2312" w:cs="Times New Roman"/>
          <w:sz w:val="28"/>
          <w:szCs w:val="28"/>
        </w:rPr>
      </w:pPr>
    </w:p>
    <w:p w14:paraId="5AEFF71D">
      <w:pPr>
        <w:pStyle w:val="2"/>
        <w:rPr>
          <w:rFonts w:hint="eastAsia" w:ascii="Times New Roman" w:hAnsi="Times New Roman" w:eastAsia="仿宋_GB2312" w:cs="Times New Roman"/>
          <w:sz w:val="28"/>
          <w:szCs w:val="28"/>
        </w:rPr>
      </w:pPr>
    </w:p>
    <w:p w14:paraId="2AD98390">
      <w:pPr>
        <w:pStyle w:val="2"/>
        <w:rPr>
          <w:rFonts w:hint="eastAsia" w:ascii="Times New Roman" w:hAnsi="Times New Roman" w:eastAsia="仿宋_GB2312" w:cs="Times New Roman"/>
          <w:sz w:val="28"/>
          <w:szCs w:val="28"/>
        </w:rPr>
      </w:pPr>
    </w:p>
    <w:p w14:paraId="5243D5D2">
      <w:pPr>
        <w:pStyle w:val="2"/>
        <w:rPr>
          <w:rFonts w:hint="eastAsia" w:ascii="Times New Roman" w:hAnsi="Times New Roman" w:eastAsia="仿宋_GB2312" w:cs="Times New Roman"/>
          <w:sz w:val="28"/>
          <w:szCs w:val="28"/>
        </w:rPr>
      </w:pPr>
    </w:p>
    <w:p w14:paraId="1B9C6287">
      <w:pPr>
        <w:pStyle w:val="2"/>
        <w:rPr>
          <w:rFonts w:hint="eastAsia" w:ascii="Times New Roman" w:hAnsi="Times New Roman" w:eastAsia="仿宋_GB2312" w:cs="Times New Roman"/>
          <w:sz w:val="28"/>
          <w:szCs w:val="28"/>
        </w:rPr>
      </w:pPr>
    </w:p>
    <w:p w14:paraId="29A1C21A">
      <w:pPr>
        <w:pStyle w:val="2"/>
        <w:rPr>
          <w:rFonts w:hint="eastAsia" w:ascii="Times New Roman" w:hAnsi="Times New Roman" w:eastAsia="仿宋_GB2312" w:cs="Times New Roman"/>
          <w:sz w:val="28"/>
          <w:szCs w:val="28"/>
        </w:rPr>
      </w:pPr>
    </w:p>
    <w:p w14:paraId="74FEAB98">
      <w:pPr>
        <w:pStyle w:val="2"/>
        <w:rPr>
          <w:rFonts w:hint="eastAsia" w:ascii="Times New Roman" w:hAnsi="Times New Roman" w:eastAsia="仿宋_GB2312" w:cs="Times New Roman"/>
          <w:sz w:val="28"/>
          <w:szCs w:val="28"/>
        </w:rPr>
      </w:pPr>
    </w:p>
    <w:p w14:paraId="1F64832E">
      <w:pPr>
        <w:pStyle w:val="2"/>
        <w:rPr>
          <w:rFonts w:hint="eastAsia" w:ascii="Times New Roman" w:hAnsi="Times New Roman" w:eastAsia="仿宋_GB2312" w:cs="Times New Roman"/>
          <w:sz w:val="28"/>
          <w:szCs w:val="28"/>
        </w:rPr>
      </w:pPr>
    </w:p>
    <w:p w14:paraId="5C42724E">
      <w:pPr>
        <w:pStyle w:val="2"/>
        <w:rPr>
          <w:rFonts w:hint="eastAsia" w:ascii="Times New Roman" w:hAnsi="Times New Roman" w:eastAsia="仿宋_GB2312" w:cs="Times New Roman"/>
          <w:sz w:val="28"/>
          <w:szCs w:val="28"/>
        </w:rPr>
      </w:pPr>
    </w:p>
    <w:p w14:paraId="2CDF275D">
      <w:pPr>
        <w:pStyle w:val="2"/>
        <w:rPr>
          <w:rFonts w:hint="eastAsia" w:ascii="Times New Roman" w:hAnsi="Times New Roman" w:eastAsia="仿宋_GB2312" w:cs="Times New Roman"/>
          <w:sz w:val="28"/>
          <w:szCs w:val="28"/>
        </w:rPr>
      </w:pPr>
    </w:p>
    <w:p w14:paraId="00F03BF0">
      <w:pPr>
        <w:pStyle w:val="2"/>
        <w:rPr>
          <w:rFonts w:hint="eastAsia" w:ascii="Times New Roman" w:hAnsi="Times New Roman" w:eastAsia="仿宋_GB2312" w:cs="Times New Roman"/>
          <w:sz w:val="28"/>
          <w:szCs w:val="28"/>
        </w:rPr>
      </w:pPr>
    </w:p>
    <w:p w14:paraId="116B0DEC">
      <w:pPr>
        <w:pStyle w:val="2"/>
        <w:rPr>
          <w:rFonts w:hint="eastAsia" w:ascii="Times New Roman" w:hAnsi="Times New Roman" w:eastAsia="仿宋_GB2312" w:cs="Times New Roman"/>
          <w:sz w:val="28"/>
          <w:szCs w:val="28"/>
        </w:rPr>
      </w:pPr>
    </w:p>
    <w:p w14:paraId="5201BA08">
      <w:pPr>
        <w:pStyle w:val="2"/>
        <w:rPr>
          <w:rFonts w:hint="eastAsia" w:ascii="Times New Roman" w:hAnsi="Times New Roman" w:eastAsia="仿宋_GB2312" w:cs="Times New Roman"/>
          <w:sz w:val="28"/>
          <w:szCs w:val="28"/>
        </w:rPr>
      </w:pPr>
    </w:p>
    <w:p w14:paraId="1B759089">
      <w:pPr>
        <w:autoSpaceDE/>
        <w:autoSpaceDN/>
        <w:spacing w:before="120" w:beforeLines="50" w:after="120" w:afterLines="50" w:line="240" w:lineRule="auto"/>
        <w:ind w:left="0" w:leftChars="0" w:firstLine="0" w:firstLineChars="0"/>
        <w:textAlignment w:val="auto"/>
        <w:rPr>
          <w:rFonts w:hint="eastAsia" w:ascii="仿宋" w:hAnsi="仿宋" w:eastAsia="仿宋"/>
          <w:b/>
          <w:bCs/>
          <w:sz w:val="21"/>
          <w:szCs w:val="28"/>
          <w:lang w:val="en-US" w:eastAsia="zh-CN"/>
        </w:rPr>
      </w:pPr>
      <w:r>
        <w:rPr>
          <w:rFonts w:hint="eastAsia" w:ascii="仿宋" w:hAnsi="仿宋" w:eastAsia="仿宋"/>
          <w:b/>
          <w:bCs/>
          <w:sz w:val="21"/>
          <w:szCs w:val="28"/>
          <w:lang w:val="en-US" w:eastAsia="zh-CN"/>
        </w:rPr>
        <w:t>附件1：</w:t>
      </w:r>
      <w:r>
        <w:rPr>
          <w:rFonts w:hint="eastAsia" w:ascii="仿宋" w:hAnsi="仿宋" w:eastAsia="仿宋" w:cstheme="minorBidi"/>
          <w:b/>
          <w:bCs/>
          <w:sz w:val="21"/>
          <w:szCs w:val="28"/>
          <w:u w:val="none"/>
          <w:lang w:val="en-US" w:eastAsia="zh-CN" w:bidi="zh-CN"/>
        </w:rPr>
        <w:t>《法务职责说明书》</w:t>
      </w:r>
    </w:p>
    <w:tbl>
      <w:tblPr>
        <w:tblStyle w:val="10"/>
        <w:tblW w:w="85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909"/>
        <w:gridCol w:w="6858"/>
      </w:tblGrid>
      <w:tr w14:paraId="50B6C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77" w:type="dxa"/>
            <w:gridSpan w:val="3"/>
            <w:tcBorders>
              <w:top w:val="double" w:color="auto" w:sz="4" w:space="0"/>
              <w:left w:val="threeDEmboss" w:color="auto" w:sz="18" w:space="0"/>
              <w:bottom w:val="double" w:color="auto" w:sz="4" w:space="0"/>
              <w:right w:val="threeDEmboss" w:color="auto" w:sz="18" w:space="0"/>
            </w:tcBorders>
            <w:shd w:val="clear" w:color="auto" w:fill="E6E6E6"/>
            <w:noWrap w:val="0"/>
            <w:vAlign w:val="center"/>
          </w:tcPr>
          <w:p w14:paraId="4F9453A4">
            <w:pPr>
              <w:pStyle w:val="5"/>
              <w:ind w:firstLine="0" w:firstLineChars="0"/>
              <w:jc w:val="center"/>
              <w:rPr>
                <w:rFonts w:ascii="Arial" w:hAnsi="Arial" w:cs="Arial"/>
                <w:b/>
                <w:bCs/>
                <w:kern w:val="2"/>
                <w:sz w:val="24"/>
                <w:lang w:val="en-US" w:eastAsia="zh-CN"/>
              </w:rPr>
            </w:pPr>
            <w:r>
              <w:rPr>
                <w:rFonts w:ascii="Arial" w:hAnsi="Arial" w:cs="Arial"/>
                <w:b/>
                <w:bCs/>
                <w:kern w:val="2"/>
                <w:sz w:val="24"/>
                <w:lang w:val="en-US" w:eastAsia="zh-CN"/>
              </w:rPr>
              <w:t>主要工作职责</w:t>
            </w:r>
          </w:p>
        </w:tc>
      </w:tr>
      <w:tr w14:paraId="487D5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10" w:type="dxa"/>
            <w:tcBorders>
              <w:top w:val="double" w:color="auto" w:sz="4" w:space="0"/>
              <w:left w:val="threeDEmboss" w:color="auto" w:sz="18" w:space="0"/>
              <w:right w:val="single" w:color="auto" w:sz="4" w:space="0"/>
            </w:tcBorders>
            <w:noWrap w:val="0"/>
            <w:vAlign w:val="center"/>
          </w:tcPr>
          <w:p w14:paraId="6705B950">
            <w:pPr>
              <w:pStyle w:val="5"/>
              <w:adjustRightInd w:val="0"/>
              <w:snapToGrid w:val="0"/>
              <w:ind w:firstLine="0" w:firstLineChars="0"/>
              <w:jc w:val="center"/>
              <w:rPr>
                <w:rFonts w:ascii="Arial" w:hAnsi="Arial" w:cs="Arial"/>
                <w:b/>
                <w:kern w:val="2"/>
                <w:sz w:val="24"/>
                <w:lang w:val="en-US" w:eastAsia="zh-CN"/>
              </w:rPr>
            </w:pPr>
            <w:r>
              <w:rPr>
                <w:rFonts w:hint="eastAsia" w:ascii="Arial" w:hAnsi="Arial" w:cs="Arial"/>
                <w:b/>
                <w:kern w:val="2"/>
                <w:sz w:val="24"/>
                <w:lang w:val="en-US" w:eastAsia="zh-CN"/>
              </w:rPr>
              <w:t>序号</w:t>
            </w:r>
          </w:p>
        </w:tc>
        <w:tc>
          <w:tcPr>
            <w:tcW w:w="909" w:type="dxa"/>
            <w:tcBorders>
              <w:top w:val="double" w:color="auto" w:sz="4" w:space="0"/>
              <w:left w:val="single" w:color="auto" w:sz="4" w:space="0"/>
              <w:right w:val="single" w:color="auto" w:sz="4" w:space="0"/>
            </w:tcBorders>
            <w:noWrap w:val="0"/>
            <w:vAlign w:val="center"/>
          </w:tcPr>
          <w:p w14:paraId="131498BD">
            <w:pPr>
              <w:pStyle w:val="5"/>
              <w:adjustRightInd w:val="0"/>
              <w:snapToGrid w:val="0"/>
              <w:ind w:firstLine="0" w:firstLineChars="0"/>
              <w:jc w:val="center"/>
              <w:rPr>
                <w:rFonts w:ascii="Arial" w:hAnsi="Arial" w:cs="Arial"/>
                <w:b/>
                <w:kern w:val="2"/>
                <w:sz w:val="24"/>
                <w:lang w:val="en-US" w:eastAsia="zh-CN"/>
              </w:rPr>
            </w:pPr>
            <w:r>
              <w:rPr>
                <w:rFonts w:ascii="Arial" w:hAnsi="Arial" w:cs="Arial"/>
                <w:b/>
                <w:kern w:val="2"/>
                <w:sz w:val="24"/>
                <w:lang w:val="en-US" w:eastAsia="zh-CN"/>
              </w:rPr>
              <w:t>概述</w:t>
            </w:r>
          </w:p>
        </w:tc>
        <w:tc>
          <w:tcPr>
            <w:tcW w:w="6858" w:type="dxa"/>
            <w:tcBorders>
              <w:top w:val="double" w:color="auto" w:sz="4" w:space="0"/>
              <w:left w:val="single" w:color="auto" w:sz="4" w:space="0"/>
              <w:right w:val="threeDEmboss" w:color="auto" w:sz="18" w:space="0"/>
            </w:tcBorders>
            <w:noWrap w:val="0"/>
            <w:vAlign w:val="center"/>
          </w:tcPr>
          <w:p w14:paraId="241318CA">
            <w:pPr>
              <w:pStyle w:val="5"/>
              <w:adjustRightInd w:val="0"/>
              <w:snapToGrid w:val="0"/>
              <w:ind w:firstLine="0" w:firstLineChars="0"/>
              <w:jc w:val="center"/>
              <w:rPr>
                <w:rFonts w:ascii="Arial" w:hAnsi="Arial" w:cs="Arial"/>
                <w:b/>
                <w:kern w:val="2"/>
                <w:sz w:val="24"/>
                <w:lang w:val="en-US" w:eastAsia="zh-CN"/>
              </w:rPr>
            </w:pPr>
            <w:r>
              <w:rPr>
                <w:rFonts w:hint="eastAsia" w:ascii="Arial" w:hAnsi="Arial" w:cs="Arial"/>
                <w:b/>
                <w:kern w:val="2"/>
                <w:sz w:val="24"/>
                <w:lang w:val="en-US" w:eastAsia="zh-CN"/>
              </w:rPr>
              <w:t>内容</w:t>
            </w:r>
            <w:r>
              <w:rPr>
                <w:rFonts w:ascii="Arial" w:hAnsi="Arial" w:cs="Arial"/>
                <w:b/>
                <w:kern w:val="2"/>
                <w:sz w:val="24"/>
                <w:lang w:val="en-US" w:eastAsia="zh-CN"/>
              </w:rPr>
              <w:t>描述</w:t>
            </w:r>
          </w:p>
        </w:tc>
      </w:tr>
      <w:tr w14:paraId="63BC5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10" w:type="dxa"/>
            <w:tcBorders>
              <w:top w:val="single" w:color="auto" w:sz="4" w:space="0"/>
              <w:left w:val="threeDEmboss" w:color="auto" w:sz="18" w:space="0"/>
              <w:right w:val="single" w:color="auto" w:sz="4" w:space="0"/>
            </w:tcBorders>
            <w:noWrap w:val="0"/>
            <w:vAlign w:val="center"/>
          </w:tcPr>
          <w:p w14:paraId="18E34593">
            <w:pPr>
              <w:pStyle w:val="5"/>
              <w:adjustRightInd w:val="0"/>
              <w:snapToGrid w:val="0"/>
              <w:ind w:firstLine="0" w:firstLineChars="0"/>
              <w:jc w:val="center"/>
              <w:rPr>
                <w:rFonts w:hint="default" w:ascii="Arial" w:hAnsi="Arial" w:cs="Arial"/>
                <w:b/>
                <w:kern w:val="2"/>
                <w:sz w:val="24"/>
                <w:lang w:val="en-US" w:eastAsia="zh-CN"/>
              </w:rPr>
            </w:pPr>
            <w:r>
              <w:rPr>
                <w:rFonts w:hint="eastAsia" w:ascii="Arial" w:hAnsi="Arial" w:cs="Arial"/>
                <w:b/>
                <w:kern w:val="2"/>
                <w:sz w:val="24"/>
                <w:lang w:val="en-US" w:eastAsia="zh-CN"/>
              </w:rPr>
              <w:t>1</w:t>
            </w:r>
          </w:p>
        </w:tc>
        <w:tc>
          <w:tcPr>
            <w:tcW w:w="909" w:type="dxa"/>
            <w:tcBorders>
              <w:left w:val="single" w:color="auto" w:sz="4" w:space="0"/>
              <w:right w:val="single" w:color="auto" w:sz="4" w:space="0"/>
            </w:tcBorders>
            <w:noWrap w:val="0"/>
            <w:vAlign w:val="center"/>
          </w:tcPr>
          <w:p w14:paraId="1C85F575">
            <w:pPr>
              <w:pStyle w:val="5"/>
              <w:adjustRightInd w:val="0"/>
              <w:snapToGrid w:val="0"/>
              <w:ind w:firstLine="0" w:firstLineChars="0"/>
              <w:jc w:val="center"/>
              <w:rPr>
                <w:rFonts w:hint="eastAsia" w:ascii="Arial" w:hAnsi="Arial" w:cs="Arial"/>
                <w:b/>
                <w:kern w:val="2"/>
                <w:sz w:val="24"/>
                <w:lang w:val="en-US" w:eastAsia="zh-CN"/>
              </w:rPr>
            </w:pPr>
            <w:r>
              <w:rPr>
                <w:rFonts w:hint="eastAsia" w:ascii="Arial" w:hAnsi="Arial" w:cs="Arial"/>
                <w:b/>
                <w:kern w:val="2"/>
                <w:sz w:val="24"/>
                <w:lang w:val="en-US" w:eastAsia="zh-CN"/>
              </w:rPr>
              <w:t>内控体系完善</w:t>
            </w:r>
          </w:p>
        </w:tc>
        <w:tc>
          <w:tcPr>
            <w:tcW w:w="6858" w:type="dxa"/>
            <w:tcBorders>
              <w:left w:val="single" w:color="auto" w:sz="4" w:space="0"/>
              <w:right w:val="threeDEmboss" w:color="auto" w:sz="18" w:space="0"/>
            </w:tcBorders>
            <w:noWrap w:val="0"/>
            <w:vAlign w:val="center"/>
          </w:tcPr>
          <w:p w14:paraId="1B885F4C">
            <w:pPr>
              <w:widowControl/>
              <w:numPr>
                <w:ilvl w:val="0"/>
                <w:numId w:val="2"/>
              </w:numPr>
              <w:tabs>
                <w:tab w:val="left" w:pos="252"/>
              </w:tabs>
              <w:spacing w:line="240" w:lineRule="auto"/>
              <w:ind w:left="0" w:leftChars="0" w:firstLine="0" w:firstLineChars="0"/>
              <w:jc w:val="left"/>
              <w:rPr>
                <w:rFonts w:hint="default" w:ascii="宋体" w:hAnsi="宋体" w:cs="宋体"/>
                <w:color w:val="000000"/>
                <w:sz w:val="21"/>
                <w:szCs w:val="21"/>
                <w:lang w:val="en-US" w:eastAsia="zh-CN"/>
              </w:rPr>
            </w:pPr>
            <w:r>
              <w:rPr>
                <w:rFonts w:hint="eastAsia" w:ascii="宋体" w:hAnsi="宋体" w:cs="宋体"/>
                <w:bCs w:val="0"/>
                <w:color w:val="000000"/>
                <w:kern w:val="2"/>
                <w:sz w:val="21"/>
                <w:szCs w:val="21"/>
                <w:lang w:val="en-US" w:eastAsia="zh-CN"/>
              </w:rPr>
              <w:t>组织开展制度建设和优化工作，按照公司制度制定计划组织有关部门起草、完善规章制度；</w:t>
            </w:r>
          </w:p>
          <w:p w14:paraId="6DC28663">
            <w:pPr>
              <w:widowControl/>
              <w:numPr>
                <w:ilvl w:val="0"/>
                <w:numId w:val="2"/>
              </w:numPr>
              <w:tabs>
                <w:tab w:val="left" w:pos="252"/>
              </w:tabs>
              <w:spacing w:line="240" w:lineRule="auto"/>
              <w:ind w:left="0" w:leftChars="0" w:firstLine="0" w:firstLineChars="0"/>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负责制定和完善风险管理制度、完善风险管理工作机制、管理流程；</w:t>
            </w:r>
          </w:p>
          <w:p w14:paraId="30662355">
            <w:pPr>
              <w:widowControl/>
              <w:numPr>
                <w:ilvl w:val="0"/>
                <w:numId w:val="2"/>
              </w:numPr>
              <w:tabs>
                <w:tab w:val="left" w:pos="252"/>
              </w:tabs>
              <w:spacing w:line="24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负责制定和完善“三重一大”管理规定及事项清单、授权审批管理制度、完善公司决策及授权审批机制；</w:t>
            </w:r>
          </w:p>
          <w:p w14:paraId="3DB0D4B1">
            <w:pPr>
              <w:widowControl/>
              <w:numPr>
                <w:ilvl w:val="0"/>
                <w:numId w:val="2"/>
              </w:numPr>
              <w:tabs>
                <w:tab w:val="left" w:pos="252"/>
              </w:tabs>
              <w:spacing w:line="24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负责制定和完善合同管理制度、完善合同管理工作机制、管理流程；</w:t>
            </w:r>
          </w:p>
          <w:p w14:paraId="782018C3">
            <w:pPr>
              <w:widowControl/>
              <w:numPr>
                <w:ilvl w:val="0"/>
                <w:numId w:val="2"/>
              </w:numPr>
              <w:tabs>
                <w:tab w:val="left" w:pos="252"/>
              </w:tabs>
              <w:spacing w:line="24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对公司各部门及子公司的内控管理工作进行监督、指导；</w:t>
            </w:r>
          </w:p>
          <w:p w14:paraId="14600254">
            <w:pPr>
              <w:widowControl/>
              <w:numPr>
                <w:ilvl w:val="0"/>
                <w:numId w:val="2"/>
              </w:numPr>
              <w:tabs>
                <w:tab w:val="left" w:pos="252"/>
              </w:tabs>
              <w:spacing w:line="240" w:lineRule="auto"/>
              <w:ind w:left="0" w:leftChars="0" w:firstLine="0" w:firstLineChars="0"/>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开展制度宣贯、集团备案、OA系统制度更新、公司制度清单更新，每季度（或按集团要求）总结制度建设及执行情况上报集团。</w:t>
            </w:r>
          </w:p>
          <w:p w14:paraId="3357E2F0">
            <w:pPr>
              <w:pStyle w:val="2"/>
              <w:ind w:left="0" w:leftChars="0" w:firstLine="420" w:firstLineChars="200"/>
              <w:jc w:val="left"/>
              <w:rPr>
                <w:rFonts w:hint="default" w:ascii="宋体" w:hAnsi="宋体" w:eastAsia="宋体" w:cs="宋体"/>
                <w:color w:val="000000"/>
                <w:sz w:val="21"/>
                <w:szCs w:val="21"/>
                <w:lang w:val="en-US" w:eastAsia="zh-CN"/>
              </w:rPr>
            </w:pPr>
          </w:p>
        </w:tc>
      </w:tr>
      <w:tr w14:paraId="637D3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jc w:val="center"/>
        </w:trPr>
        <w:tc>
          <w:tcPr>
            <w:tcW w:w="810" w:type="dxa"/>
            <w:tcBorders>
              <w:top w:val="single" w:color="auto" w:sz="4" w:space="0"/>
              <w:left w:val="threeDEmboss" w:color="auto" w:sz="18" w:space="0"/>
              <w:right w:val="single" w:color="auto" w:sz="4" w:space="0"/>
            </w:tcBorders>
            <w:noWrap w:val="0"/>
            <w:vAlign w:val="center"/>
          </w:tcPr>
          <w:p w14:paraId="00B50113">
            <w:pPr>
              <w:pStyle w:val="5"/>
              <w:adjustRightInd w:val="0"/>
              <w:snapToGrid w:val="0"/>
              <w:ind w:firstLine="0" w:firstLineChars="0"/>
              <w:jc w:val="center"/>
              <w:rPr>
                <w:rFonts w:hint="default" w:ascii="Arial" w:hAnsi="Arial" w:cs="Arial"/>
                <w:b/>
                <w:kern w:val="2"/>
                <w:sz w:val="24"/>
                <w:lang w:val="en-US" w:eastAsia="zh-CN"/>
              </w:rPr>
            </w:pPr>
            <w:r>
              <w:rPr>
                <w:rFonts w:hint="eastAsia" w:ascii="Arial" w:hAnsi="Arial" w:cs="Arial"/>
                <w:b/>
                <w:kern w:val="2"/>
                <w:sz w:val="24"/>
                <w:lang w:val="en-US" w:eastAsia="zh-CN"/>
              </w:rPr>
              <w:t>2</w:t>
            </w:r>
          </w:p>
        </w:tc>
        <w:tc>
          <w:tcPr>
            <w:tcW w:w="909" w:type="dxa"/>
            <w:tcBorders>
              <w:left w:val="single" w:color="auto" w:sz="4" w:space="0"/>
              <w:right w:val="single" w:color="auto" w:sz="4" w:space="0"/>
            </w:tcBorders>
            <w:noWrap w:val="0"/>
            <w:vAlign w:val="center"/>
          </w:tcPr>
          <w:p w14:paraId="4AC85B7D">
            <w:pPr>
              <w:pStyle w:val="5"/>
              <w:adjustRightInd w:val="0"/>
              <w:snapToGrid w:val="0"/>
              <w:ind w:firstLine="0" w:firstLineChars="0"/>
              <w:jc w:val="center"/>
              <w:rPr>
                <w:rFonts w:hint="default"/>
                <w:b/>
                <w:sz w:val="24"/>
                <w:lang w:val="en-US" w:eastAsia="zh-CN"/>
              </w:rPr>
            </w:pPr>
            <w:r>
              <w:rPr>
                <w:rFonts w:hint="eastAsia" w:ascii="Arial" w:hAnsi="Arial" w:cs="Arial"/>
                <w:b/>
                <w:kern w:val="2"/>
                <w:sz w:val="24"/>
                <w:lang w:val="en-US" w:eastAsia="zh-CN"/>
              </w:rPr>
              <w:t>风险合规管理</w:t>
            </w:r>
          </w:p>
        </w:tc>
        <w:tc>
          <w:tcPr>
            <w:tcW w:w="6858" w:type="dxa"/>
            <w:tcBorders>
              <w:left w:val="single" w:color="auto" w:sz="4" w:space="0"/>
              <w:right w:val="threeDEmboss" w:color="auto" w:sz="18" w:space="0"/>
            </w:tcBorders>
            <w:noWrap w:val="0"/>
            <w:vAlign w:val="center"/>
          </w:tcPr>
          <w:p w14:paraId="739A2711">
            <w:pPr>
              <w:widowControl/>
              <w:numPr>
                <w:ilvl w:val="0"/>
                <w:numId w:val="3"/>
              </w:numPr>
              <w:tabs>
                <w:tab w:val="left" w:pos="252"/>
              </w:tabs>
              <w:spacing w:line="24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负责公司合同、规章制度、重大经营决策及其他事项的合法合规审查，</w:t>
            </w:r>
            <w:r>
              <w:rPr>
                <w:rFonts w:hint="eastAsia" w:ascii="宋体" w:hAnsi="宋体" w:cs="宋体"/>
                <w:bCs w:val="0"/>
                <w:color w:val="000000"/>
                <w:kern w:val="2"/>
                <w:sz w:val="21"/>
                <w:szCs w:val="21"/>
                <w:lang w:val="en-US" w:eastAsia="zh-CN"/>
              </w:rPr>
              <w:t>提出法律意见或沟通顾问单位出具法律意见，合法合规台账制作、整理、向集团备案。</w:t>
            </w:r>
          </w:p>
          <w:p w14:paraId="791F16B2">
            <w:pPr>
              <w:widowControl/>
              <w:numPr>
                <w:ilvl w:val="0"/>
                <w:numId w:val="3"/>
              </w:numPr>
              <w:tabs>
                <w:tab w:val="left" w:pos="252"/>
              </w:tabs>
              <w:spacing w:line="240" w:lineRule="auto"/>
              <w:ind w:left="0" w:leftChars="0" w:firstLine="0" w:firstLineChars="0"/>
              <w:jc w:val="left"/>
              <w:rPr>
                <w:rFonts w:hint="eastAsia" w:ascii="宋体" w:hAnsi="宋体" w:cs="宋体"/>
                <w:bCs w:val="0"/>
                <w:color w:val="000000"/>
                <w:kern w:val="2"/>
                <w:sz w:val="21"/>
                <w:szCs w:val="21"/>
                <w:lang w:val="en-US" w:eastAsia="zh-CN"/>
              </w:rPr>
            </w:pPr>
            <w:r>
              <w:rPr>
                <w:rFonts w:hint="eastAsia" w:ascii="宋体" w:hAnsi="宋体" w:cs="宋体"/>
                <w:color w:val="000000"/>
                <w:sz w:val="21"/>
                <w:szCs w:val="21"/>
                <w:lang w:val="en-US" w:eastAsia="zh-CN"/>
              </w:rPr>
              <w:t>法律纠纷案件管理，协助公司及子公司开展法律诉讼、仲裁工作，研判案件、确定诉讼策略、案件准备、证据收集等，跟进案件进展，更新诉讼案件台账，每季度（或根据集团要求）报集团备案；</w:t>
            </w:r>
          </w:p>
          <w:p w14:paraId="6D4864E3">
            <w:pPr>
              <w:widowControl/>
              <w:numPr>
                <w:ilvl w:val="0"/>
                <w:numId w:val="3"/>
              </w:numPr>
              <w:tabs>
                <w:tab w:val="left" w:pos="252"/>
              </w:tabs>
              <w:spacing w:line="240" w:lineRule="auto"/>
              <w:ind w:left="0" w:leftChars="0" w:firstLine="0" w:firstLineChars="0"/>
              <w:jc w:val="left"/>
              <w:rPr>
                <w:rFonts w:hint="eastAsia" w:ascii="宋体" w:hAnsi="宋体" w:cs="宋体"/>
                <w:bCs w:val="0"/>
                <w:color w:val="000000"/>
                <w:kern w:val="2"/>
                <w:sz w:val="21"/>
                <w:szCs w:val="21"/>
                <w:lang w:val="en-US" w:eastAsia="zh-CN"/>
              </w:rPr>
            </w:pPr>
            <w:r>
              <w:rPr>
                <w:rFonts w:hint="eastAsia" w:ascii="宋体" w:hAnsi="宋体" w:cs="宋体"/>
                <w:bCs w:val="0"/>
                <w:color w:val="000000"/>
                <w:kern w:val="2"/>
                <w:sz w:val="21"/>
                <w:szCs w:val="21"/>
                <w:lang w:val="en-US" w:eastAsia="zh-CN"/>
              </w:rPr>
              <w:t>在权限范围内，根据集团公司风险合规部门的业务指导，牵头组织各部门编制风险清单、应对预案和风险报告，研究风险管理策略和跨部门的重大风险管理解决方案；</w:t>
            </w:r>
          </w:p>
          <w:p w14:paraId="3CEE24BC">
            <w:pPr>
              <w:widowControl/>
              <w:numPr>
                <w:ilvl w:val="0"/>
                <w:numId w:val="3"/>
              </w:numPr>
              <w:tabs>
                <w:tab w:val="left" w:pos="252"/>
              </w:tabs>
              <w:spacing w:line="240" w:lineRule="auto"/>
              <w:ind w:left="0" w:leftChars="0" w:firstLine="0" w:firstLineChars="0"/>
              <w:jc w:val="left"/>
              <w:rPr>
                <w:rFonts w:hint="default" w:ascii="宋体" w:hAnsi="宋体" w:cs="宋体"/>
                <w:color w:val="000000"/>
                <w:sz w:val="21"/>
                <w:szCs w:val="21"/>
                <w:lang w:val="en-US" w:eastAsia="zh-CN"/>
              </w:rPr>
            </w:pPr>
            <w:r>
              <w:rPr>
                <w:rFonts w:hint="eastAsia" w:ascii="宋体" w:hAnsi="宋体" w:cs="宋体"/>
                <w:bCs w:val="0"/>
                <w:color w:val="000000"/>
                <w:kern w:val="2"/>
                <w:sz w:val="21"/>
                <w:szCs w:val="21"/>
                <w:lang w:val="en-US" w:eastAsia="zh-CN"/>
              </w:rPr>
              <w:t>受理集团风险合规部门移交或建议事项，反馈相关工作成果，组织各部门按要求改进并反馈整改落实情况。</w:t>
            </w:r>
          </w:p>
          <w:p w14:paraId="76F64B8D">
            <w:pPr>
              <w:widowControl/>
              <w:numPr>
                <w:ilvl w:val="0"/>
                <w:numId w:val="3"/>
              </w:numPr>
              <w:tabs>
                <w:tab w:val="left" w:pos="252"/>
              </w:tabs>
              <w:spacing w:line="240" w:lineRule="auto"/>
              <w:ind w:left="0" w:leftChars="0" w:firstLine="0" w:firstLineChars="0"/>
              <w:jc w:val="left"/>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开展其他风险合规管理工作，每季度（或按集团要求）总结风险合规工作情况并上报集团。</w:t>
            </w:r>
          </w:p>
        </w:tc>
      </w:tr>
      <w:tr w14:paraId="035EB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jc w:val="center"/>
        </w:trPr>
        <w:tc>
          <w:tcPr>
            <w:tcW w:w="810" w:type="dxa"/>
            <w:tcBorders>
              <w:top w:val="single" w:color="auto" w:sz="4" w:space="0"/>
              <w:left w:val="threeDEmboss" w:color="auto" w:sz="18" w:space="0"/>
              <w:bottom w:val="double" w:color="auto" w:sz="4" w:space="0"/>
              <w:right w:val="single" w:color="auto" w:sz="4" w:space="0"/>
            </w:tcBorders>
            <w:noWrap w:val="0"/>
            <w:vAlign w:val="center"/>
          </w:tcPr>
          <w:p w14:paraId="558707D7">
            <w:pPr>
              <w:pStyle w:val="5"/>
              <w:adjustRightInd w:val="0"/>
              <w:snapToGrid w:val="0"/>
              <w:ind w:firstLine="0" w:firstLineChars="0"/>
              <w:jc w:val="center"/>
              <w:rPr>
                <w:rFonts w:hint="default" w:ascii="Arial" w:hAnsi="Arial" w:cs="Arial"/>
                <w:b/>
                <w:kern w:val="2"/>
                <w:sz w:val="24"/>
                <w:lang w:val="en-US" w:eastAsia="zh-CN"/>
              </w:rPr>
            </w:pPr>
            <w:r>
              <w:rPr>
                <w:rFonts w:hint="eastAsia" w:ascii="Arial" w:hAnsi="Arial" w:cs="Arial"/>
                <w:b/>
                <w:kern w:val="2"/>
                <w:sz w:val="24"/>
                <w:lang w:val="en-US" w:eastAsia="zh-CN"/>
              </w:rPr>
              <w:t>3</w:t>
            </w:r>
          </w:p>
        </w:tc>
        <w:tc>
          <w:tcPr>
            <w:tcW w:w="909" w:type="dxa"/>
            <w:tcBorders>
              <w:top w:val="single" w:color="auto" w:sz="4" w:space="0"/>
              <w:left w:val="single" w:color="auto" w:sz="4" w:space="0"/>
              <w:bottom w:val="double" w:color="auto" w:sz="4" w:space="0"/>
              <w:right w:val="single" w:color="auto" w:sz="4" w:space="0"/>
            </w:tcBorders>
            <w:noWrap w:val="0"/>
            <w:vAlign w:val="center"/>
          </w:tcPr>
          <w:p w14:paraId="087B8D6D">
            <w:pPr>
              <w:ind w:firstLine="0" w:firstLineChars="0"/>
              <w:jc w:val="center"/>
              <w:rPr>
                <w:rFonts w:hint="default" w:ascii="宋体" w:hAnsi="宋体" w:cs="宋体"/>
                <w:b/>
                <w:bCs/>
                <w:sz w:val="24"/>
                <w:szCs w:val="24"/>
                <w:highlight w:val="none"/>
                <w:lang w:val="en-US" w:eastAsia="zh-CN"/>
              </w:rPr>
            </w:pPr>
            <w:r>
              <w:rPr>
                <w:rFonts w:hint="eastAsia" w:ascii="宋体" w:hAnsi="宋体" w:cs="宋体"/>
                <w:b/>
                <w:bCs/>
                <w:sz w:val="24"/>
                <w:szCs w:val="24"/>
                <w:lang w:val="en-US" w:eastAsia="zh-CN"/>
              </w:rPr>
              <w:t>业务支持</w:t>
            </w:r>
          </w:p>
        </w:tc>
        <w:tc>
          <w:tcPr>
            <w:tcW w:w="6858" w:type="dxa"/>
            <w:tcBorders>
              <w:top w:val="single" w:color="auto" w:sz="4" w:space="0"/>
              <w:left w:val="single" w:color="auto" w:sz="4" w:space="0"/>
              <w:bottom w:val="double" w:color="auto" w:sz="4" w:space="0"/>
              <w:right w:val="threeDEmboss" w:color="auto" w:sz="18" w:space="0"/>
            </w:tcBorders>
            <w:noWrap w:val="0"/>
            <w:vAlign w:val="center"/>
          </w:tcPr>
          <w:p w14:paraId="7887A6B1">
            <w:pPr>
              <w:widowControl/>
              <w:numPr>
                <w:ilvl w:val="0"/>
                <w:numId w:val="4"/>
              </w:numPr>
              <w:tabs>
                <w:tab w:val="left" w:pos="252"/>
              </w:tabs>
              <w:spacing w:line="24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协助参与</w:t>
            </w:r>
            <w:r>
              <w:rPr>
                <w:rFonts w:hint="eastAsia" w:ascii="宋体" w:hAnsi="宋体" w:cs="宋体"/>
                <w:bCs w:val="0"/>
                <w:color w:val="000000"/>
                <w:kern w:val="2"/>
                <w:sz w:val="21"/>
                <w:szCs w:val="21"/>
                <w:lang w:val="en-US" w:eastAsia="zh-CN"/>
              </w:rPr>
              <w:t>业务开展的谈判及合同、文件的拟定/修改，提出法律意见</w:t>
            </w:r>
            <w:r>
              <w:rPr>
                <w:rFonts w:hint="eastAsia" w:ascii="宋体" w:hAnsi="宋体" w:cs="宋体"/>
                <w:color w:val="000000"/>
                <w:sz w:val="21"/>
                <w:szCs w:val="21"/>
                <w:lang w:val="en-US" w:eastAsia="zh-CN"/>
              </w:rPr>
              <w:t>；</w:t>
            </w:r>
          </w:p>
          <w:p w14:paraId="0F13D621">
            <w:pPr>
              <w:widowControl/>
              <w:numPr>
                <w:ilvl w:val="0"/>
                <w:numId w:val="4"/>
              </w:numPr>
              <w:tabs>
                <w:tab w:val="left" w:pos="252"/>
              </w:tabs>
              <w:spacing w:line="24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cs="宋体"/>
                <w:bCs w:val="0"/>
                <w:color w:val="000000"/>
                <w:kern w:val="2"/>
                <w:sz w:val="21"/>
                <w:szCs w:val="21"/>
                <w:lang w:val="en-US" w:eastAsia="zh-CN"/>
              </w:rPr>
              <w:t>组织公司合同范本的制定、修订；</w:t>
            </w:r>
          </w:p>
          <w:p w14:paraId="5486C97C">
            <w:pPr>
              <w:widowControl/>
              <w:numPr>
                <w:ilvl w:val="0"/>
                <w:numId w:val="4"/>
              </w:numPr>
              <w:tabs>
                <w:tab w:val="left" w:pos="252"/>
              </w:tabs>
              <w:spacing w:line="240" w:lineRule="auto"/>
              <w:ind w:left="0" w:leftChars="0" w:firstLine="0" w:firstLineChars="0"/>
              <w:jc w:val="left"/>
              <w:rPr>
                <w:rFonts w:hint="eastAsia" w:ascii="宋体" w:hAnsi="宋体" w:eastAsia="仿宋_GB2312" w:cs="宋体"/>
                <w:color w:val="000000"/>
                <w:sz w:val="21"/>
                <w:szCs w:val="21"/>
                <w:lang w:val="en-US" w:eastAsia="zh-CN"/>
              </w:rPr>
            </w:pPr>
            <w:r>
              <w:rPr>
                <w:rFonts w:hint="eastAsia" w:ascii="宋体" w:hAnsi="宋体" w:cs="宋体"/>
                <w:color w:val="000000"/>
                <w:sz w:val="21"/>
                <w:szCs w:val="21"/>
                <w:lang w:val="en-US" w:eastAsia="zh-CN"/>
              </w:rPr>
              <w:t>审核各类法律文书及合同、合同履行监督、付款审核；</w:t>
            </w:r>
          </w:p>
          <w:p w14:paraId="4E0665E5">
            <w:pPr>
              <w:widowControl/>
              <w:numPr>
                <w:ilvl w:val="0"/>
                <w:numId w:val="4"/>
              </w:numPr>
              <w:tabs>
                <w:tab w:val="left" w:pos="252"/>
              </w:tabs>
              <w:spacing w:line="24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eastAsia="仿宋_GB2312" w:cs="宋体"/>
                <w:bCs w:val="0"/>
                <w:color w:val="000000"/>
                <w:kern w:val="2"/>
                <w:sz w:val="21"/>
                <w:szCs w:val="21"/>
                <w:lang w:val="en-US" w:eastAsia="zh-CN"/>
              </w:rPr>
              <w:t>评审各业务部门相关议题</w:t>
            </w:r>
            <w:r>
              <w:rPr>
                <w:rFonts w:hint="eastAsia" w:ascii="宋体" w:hAnsi="宋体" w:cs="宋体"/>
                <w:bCs w:val="0"/>
                <w:color w:val="000000"/>
                <w:kern w:val="2"/>
                <w:sz w:val="21"/>
                <w:szCs w:val="21"/>
                <w:lang w:val="en-US" w:eastAsia="zh-CN"/>
              </w:rPr>
              <w:t>或专项工作</w:t>
            </w:r>
            <w:r>
              <w:rPr>
                <w:rFonts w:hint="eastAsia" w:ascii="宋体" w:hAnsi="宋体" w:eastAsia="仿宋_GB2312" w:cs="宋体"/>
                <w:bCs w:val="0"/>
                <w:color w:val="000000"/>
                <w:kern w:val="2"/>
                <w:sz w:val="21"/>
                <w:szCs w:val="21"/>
                <w:lang w:val="en-US" w:eastAsia="zh-CN"/>
              </w:rPr>
              <w:t>，提出法律意见或沟通顾问单位出具法律意见。</w:t>
            </w:r>
          </w:p>
          <w:p w14:paraId="61281D39">
            <w:pPr>
              <w:pStyle w:val="2"/>
              <w:ind w:firstLine="0" w:firstLineChars="0"/>
              <w:rPr>
                <w:rFonts w:hint="default"/>
                <w:lang w:val="en-US" w:eastAsia="zh-CN"/>
              </w:rPr>
            </w:pPr>
            <w:r>
              <w:rPr>
                <w:rFonts w:hint="eastAsia" w:hAnsi="宋体" w:eastAsia="仿宋_GB2312" w:cs="宋体"/>
                <w:bCs w:val="0"/>
                <w:color w:val="000000"/>
                <w:kern w:val="2"/>
                <w:sz w:val="21"/>
                <w:szCs w:val="21"/>
                <w:lang w:val="en-US" w:eastAsia="zh-CN"/>
              </w:rPr>
              <w:t>5.业务专项法律咨询及提供争议处理建议。</w:t>
            </w:r>
          </w:p>
          <w:p w14:paraId="6755526B">
            <w:pPr>
              <w:pStyle w:val="2"/>
              <w:ind w:firstLine="0" w:firstLineChars="0"/>
              <w:rPr>
                <w:rFonts w:hint="eastAsia"/>
                <w:lang w:val="en-US" w:eastAsia="zh-CN"/>
              </w:rPr>
            </w:pPr>
          </w:p>
        </w:tc>
      </w:tr>
      <w:tr w14:paraId="660DE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810" w:type="dxa"/>
            <w:tcBorders>
              <w:top w:val="single" w:color="auto" w:sz="4" w:space="0"/>
              <w:left w:val="threeDEmboss" w:color="auto" w:sz="18" w:space="0"/>
              <w:bottom w:val="double" w:color="auto" w:sz="4" w:space="0"/>
              <w:right w:val="single" w:color="auto" w:sz="4" w:space="0"/>
            </w:tcBorders>
            <w:shd w:val="clear" w:color="auto" w:fill="auto"/>
            <w:noWrap w:val="0"/>
            <w:vAlign w:val="center"/>
          </w:tcPr>
          <w:p w14:paraId="01587854">
            <w:pPr>
              <w:pStyle w:val="5"/>
              <w:adjustRightInd w:val="0"/>
              <w:snapToGrid w:val="0"/>
              <w:ind w:firstLine="0" w:firstLineChars="0"/>
              <w:jc w:val="center"/>
              <w:rPr>
                <w:rFonts w:hint="default" w:ascii="Arial" w:hAnsi="Arial" w:eastAsia="宋体" w:cs="Arial"/>
                <w:b/>
                <w:kern w:val="2"/>
                <w:sz w:val="24"/>
                <w:szCs w:val="24"/>
                <w:lang w:val="en-US" w:eastAsia="zh-CN" w:bidi="ar-SA"/>
              </w:rPr>
            </w:pPr>
            <w:r>
              <w:rPr>
                <w:rFonts w:hint="eastAsia" w:ascii="Arial" w:hAnsi="Arial" w:eastAsia="宋体" w:cs="Arial"/>
                <w:b/>
                <w:kern w:val="2"/>
                <w:sz w:val="24"/>
                <w:szCs w:val="24"/>
                <w:lang w:val="en-US" w:eastAsia="zh-CN" w:bidi="ar-SA"/>
              </w:rPr>
              <w:t>4</w:t>
            </w:r>
          </w:p>
        </w:tc>
        <w:tc>
          <w:tcPr>
            <w:tcW w:w="909" w:type="dxa"/>
            <w:tcBorders>
              <w:top w:val="single" w:color="auto" w:sz="4" w:space="0"/>
              <w:left w:val="single" w:color="auto" w:sz="4" w:space="0"/>
              <w:bottom w:val="double" w:color="auto" w:sz="4" w:space="0"/>
              <w:right w:val="single" w:color="auto" w:sz="4" w:space="0"/>
            </w:tcBorders>
            <w:shd w:val="clear" w:color="auto" w:fill="auto"/>
            <w:noWrap w:val="0"/>
            <w:vAlign w:val="center"/>
          </w:tcPr>
          <w:p w14:paraId="615D1F27">
            <w:pPr>
              <w:ind w:firstLine="0" w:firstLineChars="0"/>
              <w:jc w:val="center"/>
              <w:rPr>
                <w:rFonts w:hint="eastAsia" w:ascii="宋体" w:hAnsi="宋体" w:eastAsia="宋体" w:cs="宋体"/>
                <w:b/>
                <w:bCs/>
                <w:kern w:val="2"/>
                <w:sz w:val="24"/>
                <w:szCs w:val="24"/>
                <w:highlight w:val="none"/>
                <w:lang w:val="en-US" w:eastAsia="zh-CN" w:bidi="ar-SA"/>
              </w:rPr>
            </w:pPr>
            <w:r>
              <w:rPr>
                <w:rFonts w:hint="eastAsia" w:ascii="宋体" w:hAnsi="宋体" w:cs="宋体"/>
                <w:b/>
                <w:bCs/>
                <w:sz w:val="24"/>
                <w:szCs w:val="24"/>
                <w:highlight w:val="none"/>
                <w:lang w:val="en-US" w:eastAsia="zh-CN"/>
              </w:rPr>
              <w:t>其他工作事项</w:t>
            </w:r>
          </w:p>
        </w:tc>
        <w:tc>
          <w:tcPr>
            <w:tcW w:w="6858" w:type="dxa"/>
            <w:tcBorders>
              <w:top w:val="single" w:color="auto" w:sz="4" w:space="0"/>
              <w:left w:val="single" w:color="auto" w:sz="4" w:space="0"/>
              <w:bottom w:val="double" w:color="auto" w:sz="4" w:space="0"/>
              <w:right w:val="threeDEmboss" w:color="auto" w:sz="18" w:space="0"/>
            </w:tcBorders>
            <w:shd w:val="clear" w:color="auto" w:fill="auto"/>
            <w:noWrap w:val="0"/>
            <w:vAlign w:val="center"/>
          </w:tcPr>
          <w:p w14:paraId="6FD297D2">
            <w:pPr>
              <w:widowControl/>
              <w:numPr>
                <w:ilvl w:val="0"/>
                <w:numId w:val="5"/>
              </w:numPr>
              <w:tabs>
                <w:tab w:val="left" w:pos="252"/>
              </w:tabs>
              <w:spacing w:line="240" w:lineRule="auto"/>
              <w:ind w:left="0" w:leftChars="0" w:firstLine="0" w:firstLineChars="0"/>
              <w:jc w:val="left"/>
              <w:rPr>
                <w:rFonts w:hint="eastAsia" w:ascii="宋体" w:hAnsi="宋体" w:eastAsia="仿宋_GB2312" w:cs="宋体"/>
                <w:color w:val="000000"/>
                <w:sz w:val="21"/>
                <w:szCs w:val="21"/>
                <w:lang w:val="en-US" w:eastAsia="zh-CN"/>
              </w:rPr>
            </w:pPr>
            <w:r>
              <w:rPr>
                <w:rFonts w:hint="eastAsia" w:ascii="宋体" w:hAnsi="宋体" w:cs="宋体"/>
                <w:color w:val="000000"/>
                <w:sz w:val="21"/>
                <w:szCs w:val="21"/>
                <w:lang w:val="en-US" w:eastAsia="zh-CN"/>
              </w:rPr>
              <w:t>外聘法律顾问单位管理；</w:t>
            </w:r>
          </w:p>
          <w:p w14:paraId="3617B36B">
            <w:pPr>
              <w:widowControl/>
              <w:numPr>
                <w:ilvl w:val="0"/>
                <w:numId w:val="5"/>
              </w:numPr>
              <w:tabs>
                <w:tab w:val="left" w:pos="252"/>
              </w:tabs>
              <w:spacing w:line="240" w:lineRule="auto"/>
              <w:ind w:left="0" w:leftChars="0" w:firstLine="0" w:firstLineChars="0"/>
              <w:jc w:val="left"/>
              <w:rPr>
                <w:rFonts w:hint="eastAsia" w:ascii="宋体" w:hAnsi="宋体" w:eastAsia="仿宋_GB2312" w:cs="宋体"/>
                <w:color w:val="000000"/>
                <w:sz w:val="21"/>
                <w:szCs w:val="21"/>
                <w:lang w:val="en-US" w:eastAsia="zh-CN"/>
              </w:rPr>
            </w:pPr>
            <w:r>
              <w:rPr>
                <w:rFonts w:hint="eastAsia" w:ascii="宋体" w:hAnsi="宋体" w:eastAsia="仿宋_GB2312" w:cs="宋体"/>
                <w:color w:val="000000"/>
                <w:sz w:val="21"/>
                <w:szCs w:val="21"/>
                <w:lang w:val="en-US" w:eastAsia="zh-CN"/>
              </w:rPr>
              <w:t>常年法律顾问单位招采准备、费用申请。</w:t>
            </w:r>
          </w:p>
          <w:p w14:paraId="002935E6">
            <w:pPr>
              <w:widowControl/>
              <w:numPr>
                <w:ilvl w:val="0"/>
                <w:numId w:val="5"/>
              </w:numPr>
              <w:tabs>
                <w:tab w:val="left" w:pos="252"/>
              </w:tabs>
              <w:spacing w:line="24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为公司各业务部门及下属公司提供日常法律咨询，解答法律问题。</w:t>
            </w:r>
          </w:p>
          <w:p w14:paraId="288462B8">
            <w:pPr>
              <w:widowControl/>
              <w:numPr>
                <w:ilvl w:val="0"/>
                <w:numId w:val="5"/>
              </w:numPr>
              <w:tabs>
                <w:tab w:val="left" w:pos="252"/>
              </w:tabs>
              <w:spacing w:line="240" w:lineRule="auto"/>
              <w:ind w:left="0" w:leftChars="0" w:firstLine="0" w:firstLineChars="0"/>
              <w:jc w:val="left"/>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结合公司业务特点和常见法律风险，定期或不定期组织开展全员或针对关键岗位的法律知识培训及普法工作，提升全员法律意识。</w:t>
            </w:r>
          </w:p>
          <w:p w14:paraId="4669BE3C">
            <w:pPr>
              <w:widowControl/>
              <w:numPr>
                <w:ilvl w:val="0"/>
                <w:numId w:val="5"/>
              </w:numPr>
              <w:tabs>
                <w:tab w:val="left" w:pos="252"/>
              </w:tabs>
              <w:spacing w:line="240" w:lineRule="auto"/>
              <w:ind w:left="0" w:leftChars="0" w:firstLine="0" w:firstLineChars="0"/>
              <w:jc w:val="left"/>
              <w:rPr>
                <w:rFonts w:hint="eastAsia" w:ascii="宋体" w:hAnsi="宋体" w:eastAsia="仿宋_GB2312" w:cs="宋体"/>
                <w:color w:val="000000"/>
                <w:kern w:val="2"/>
                <w:sz w:val="21"/>
                <w:szCs w:val="21"/>
                <w:lang w:val="en-US" w:eastAsia="zh-CN" w:bidi="ar-SA"/>
              </w:rPr>
            </w:pPr>
            <w:r>
              <w:rPr>
                <w:rFonts w:hint="eastAsia" w:ascii="宋体" w:hAnsi="宋体" w:eastAsia="仿宋_GB2312" w:cs="宋体"/>
                <w:color w:val="000000"/>
                <w:sz w:val="21"/>
                <w:szCs w:val="21"/>
                <w:lang w:val="en-US" w:eastAsia="zh-CN"/>
              </w:rPr>
              <w:t>负责收集、整理、保管本岗位各阶段工作资料</w:t>
            </w:r>
            <w:r>
              <w:rPr>
                <w:rFonts w:hint="eastAsia" w:ascii="宋体" w:hAnsi="宋体" w:cs="宋体"/>
                <w:color w:val="000000"/>
                <w:sz w:val="21"/>
                <w:szCs w:val="21"/>
                <w:lang w:val="en-US" w:eastAsia="zh-CN"/>
              </w:rPr>
              <w:t>。</w:t>
            </w:r>
          </w:p>
          <w:p w14:paraId="7412DFD0">
            <w:pPr>
              <w:widowControl/>
              <w:numPr>
                <w:ilvl w:val="0"/>
                <w:numId w:val="5"/>
              </w:numPr>
              <w:tabs>
                <w:tab w:val="left" w:pos="252"/>
              </w:tabs>
              <w:spacing w:line="240" w:lineRule="auto"/>
              <w:ind w:left="0" w:leftChars="0" w:firstLine="0" w:firstLineChars="0"/>
              <w:jc w:val="left"/>
              <w:rPr>
                <w:rFonts w:hint="eastAsia" w:ascii="宋体" w:hAnsi="宋体" w:eastAsia="仿宋_GB2312" w:cs="宋体"/>
                <w:color w:val="000000"/>
                <w:kern w:val="2"/>
                <w:sz w:val="21"/>
                <w:szCs w:val="21"/>
                <w:lang w:val="en-US" w:eastAsia="zh-CN" w:bidi="ar-SA"/>
              </w:rPr>
            </w:pPr>
            <w:r>
              <w:rPr>
                <w:rFonts w:hint="eastAsia" w:ascii="宋体" w:hAnsi="宋体" w:eastAsia="仿宋_GB2312" w:cs="宋体"/>
                <w:color w:val="000000"/>
                <w:sz w:val="21"/>
                <w:szCs w:val="21"/>
                <w:lang w:val="en-US" w:eastAsia="zh-CN"/>
              </w:rPr>
              <w:t>完成</w:t>
            </w:r>
            <w:r>
              <w:rPr>
                <w:rFonts w:hint="eastAsia" w:ascii="宋体" w:hAnsi="宋体" w:cs="宋体"/>
                <w:color w:val="000000"/>
                <w:sz w:val="21"/>
                <w:szCs w:val="21"/>
                <w:lang w:val="en-US" w:eastAsia="zh-CN"/>
              </w:rPr>
              <w:t>集团风险合规部门及公司领导</w:t>
            </w:r>
            <w:r>
              <w:rPr>
                <w:rFonts w:hint="eastAsia" w:ascii="宋体" w:hAnsi="宋体" w:eastAsia="仿宋_GB2312" w:cs="宋体"/>
                <w:color w:val="000000"/>
                <w:sz w:val="21"/>
                <w:szCs w:val="21"/>
                <w:lang w:val="en-US" w:eastAsia="zh-CN"/>
              </w:rPr>
              <w:t>临时下达的</w:t>
            </w:r>
            <w:r>
              <w:rPr>
                <w:rFonts w:hint="eastAsia" w:ascii="宋体" w:hAnsi="宋体" w:cs="宋体"/>
                <w:color w:val="000000"/>
                <w:sz w:val="21"/>
                <w:szCs w:val="21"/>
                <w:lang w:val="en-US" w:eastAsia="zh-CN"/>
              </w:rPr>
              <w:t>其他</w:t>
            </w:r>
            <w:r>
              <w:rPr>
                <w:rFonts w:hint="eastAsia" w:ascii="宋体" w:hAnsi="宋体" w:eastAsia="仿宋_GB2312" w:cs="宋体"/>
                <w:color w:val="000000"/>
                <w:sz w:val="21"/>
                <w:szCs w:val="21"/>
                <w:lang w:val="en-US" w:eastAsia="zh-CN"/>
              </w:rPr>
              <w:t>工作任务。</w:t>
            </w:r>
          </w:p>
        </w:tc>
      </w:tr>
    </w:tbl>
    <w:p w14:paraId="4ECE4351">
      <w:pPr>
        <w:spacing w:before="120" w:beforeLines="50" w:after="120" w:afterLines="50"/>
        <w:ind w:firstLine="0" w:firstLineChars="0"/>
        <w:rPr>
          <w:rFonts w:hint="eastAsia" w:ascii="仿宋" w:hAnsi="仿宋" w:eastAsia="仿宋"/>
          <w:b/>
          <w:bCs/>
          <w:szCs w:val="28"/>
        </w:rPr>
      </w:pPr>
    </w:p>
    <w:p w14:paraId="553D7FFB">
      <w:pPr>
        <w:spacing w:before="120" w:beforeLines="50" w:after="120" w:afterLines="50"/>
        <w:ind w:firstLine="0" w:firstLineChars="0"/>
        <w:rPr>
          <w:rFonts w:hint="eastAsia" w:ascii="仿宋" w:hAnsi="仿宋" w:eastAsia="仿宋"/>
          <w:b/>
          <w:bCs/>
          <w:szCs w:val="28"/>
        </w:rPr>
      </w:pPr>
    </w:p>
    <w:p w14:paraId="2CD60B71">
      <w:pPr>
        <w:spacing w:before="120" w:beforeLines="50" w:after="120" w:afterLines="50"/>
        <w:ind w:firstLine="0" w:firstLineChars="0"/>
        <w:rPr>
          <w:rFonts w:hint="eastAsia" w:ascii="仿宋" w:hAnsi="仿宋" w:eastAsia="仿宋"/>
          <w:b/>
          <w:bCs/>
          <w:szCs w:val="28"/>
        </w:rPr>
      </w:pPr>
    </w:p>
    <w:p w14:paraId="68D00AC2">
      <w:pPr>
        <w:spacing w:before="120" w:beforeLines="50" w:after="120" w:afterLines="50"/>
        <w:ind w:firstLine="0" w:firstLineChars="0"/>
        <w:rPr>
          <w:rFonts w:hint="eastAsia" w:ascii="楷体_GB2312" w:hAnsi="楷体_GB2312" w:eastAsia="楷体_GB2312" w:cs="楷体_GB2312"/>
          <w:b w:val="0"/>
          <w:bCs w:val="0"/>
          <w:szCs w:val="28"/>
        </w:rPr>
      </w:pPr>
    </w:p>
    <w:p w14:paraId="23F47809">
      <w:pPr>
        <w:spacing w:before="120" w:beforeLines="50" w:after="120" w:afterLines="50"/>
        <w:ind w:firstLine="0" w:firstLineChars="0"/>
        <w:rPr>
          <w:rFonts w:ascii="仿宋" w:hAnsi="仿宋" w:eastAsia="仿宋"/>
          <w:b/>
          <w:bCs/>
          <w:szCs w:val="28"/>
        </w:rPr>
      </w:pPr>
      <w:r>
        <w:rPr>
          <w:rFonts w:hint="eastAsia" w:ascii="仿宋" w:hAnsi="仿宋" w:eastAsia="仿宋"/>
          <w:b/>
          <w:bCs/>
          <w:szCs w:val="28"/>
        </w:rPr>
        <w:t>附件</w:t>
      </w:r>
      <w:r>
        <w:rPr>
          <w:rFonts w:hint="eastAsia" w:ascii="仿宋" w:hAnsi="仿宋" w:eastAsia="仿宋"/>
          <w:b/>
          <w:bCs/>
          <w:szCs w:val="28"/>
          <w:lang w:val="en-US" w:eastAsia="zh-CN"/>
        </w:rPr>
        <w:t>2</w:t>
      </w:r>
      <w:r>
        <w:rPr>
          <w:rFonts w:hint="eastAsia" w:ascii="仿宋" w:hAnsi="仿宋" w:eastAsia="仿宋"/>
          <w:b/>
          <w:bCs/>
          <w:szCs w:val="28"/>
        </w:rPr>
        <w:t>：法律顾问服务标准</w:t>
      </w:r>
      <w:r>
        <w:rPr>
          <w:rFonts w:hint="eastAsia" w:ascii="仿宋" w:hAnsi="仿宋" w:eastAsia="仿宋" w:cstheme="minorBidi"/>
          <w:b/>
          <w:bCs/>
          <w:sz w:val="21"/>
          <w:szCs w:val="28"/>
          <w:lang w:val="en-US" w:eastAsia="zh-CN"/>
        </w:rPr>
        <w:t>及</w:t>
      </w:r>
      <w:r>
        <w:rPr>
          <w:rFonts w:hint="eastAsia" w:ascii="仿宋" w:hAnsi="仿宋" w:eastAsia="仿宋" w:cstheme="minorBidi"/>
          <w:b/>
          <w:bCs/>
          <w:spacing w:val="0"/>
          <w:sz w:val="21"/>
          <w:szCs w:val="28"/>
        </w:rPr>
        <w:t>评分标准</w:t>
      </w:r>
    </w:p>
    <w:p w14:paraId="0D148E24">
      <w:pPr>
        <w:spacing w:before="166" w:line="600" w:lineRule="exact"/>
        <w:ind w:left="1124"/>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pacing w:val="0"/>
          <w:sz w:val="44"/>
          <w:szCs w:val="44"/>
        </w:rPr>
        <w:t>海口市产业发展投资集团有限公司</w:t>
      </w:r>
    </w:p>
    <w:p w14:paraId="54FFA1BB">
      <w:pPr>
        <w:spacing w:before="1" w:line="600" w:lineRule="exact"/>
        <w:ind w:left="2666"/>
        <w:rPr>
          <w:rFonts w:hint="eastAsia" w:ascii="方正小标宋简体" w:hAnsi="方正小标宋简体" w:eastAsia="方正小标宋简体" w:cs="方正小标宋简体"/>
          <w:spacing w:val="0"/>
          <w:sz w:val="44"/>
          <w:szCs w:val="44"/>
        </w:rPr>
      </w:pPr>
      <w:r>
        <w:rPr>
          <w:rFonts w:hint="eastAsia" w:ascii="方正小标宋简体" w:hAnsi="方正小标宋简体" w:eastAsia="方正小标宋简体" w:cs="方正小标宋简体"/>
          <w:spacing w:val="0"/>
          <w:sz w:val="44"/>
          <w:szCs w:val="44"/>
        </w:rPr>
        <w:t>法律顾问服务标准</w:t>
      </w:r>
    </w:p>
    <w:p w14:paraId="3B06980C">
      <w:pPr>
        <w:spacing w:before="1" w:line="600" w:lineRule="exact"/>
        <w:ind w:left="2666"/>
        <w:rPr>
          <w:rFonts w:hint="eastAsia" w:ascii="方正小标宋简体" w:hAnsi="方正小标宋简体" w:eastAsia="方正小标宋简体" w:cs="方正小标宋简体"/>
          <w:spacing w:val="0"/>
          <w:sz w:val="44"/>
          <w:szCs w:val="44"/>
        </w:rPr>
      </w:pPr>
    </w:p>
    <w:p w14:paraId="747444D6">
      <w:pPr>
        <w:spacing w:before="0" w:line="560" w:lineRule="exact"/>
        <w:ind w:left="654"/>
        <w:rPr>
          <w:rFonts w:hint="eastAsia" w:ascii="黑体" w:hAnsi="黑体" w:eastAsia="黑体" w:cs="黑体"/>
          <w:spacing w:val="5"/>
          <w:sz w:val="28"/>
          <w:szCs w:val="28"/>
        </w:rPr>
      </w:pPr>
      <w:r>
        <w:rPr>
          <w:rFonts w:hint="eastAsia" w:ascii="黑体" w:hAnsi="黑体" w:eastAsia="黑体" w:cs="黑体"/>
          <w:spacing w:val="5"/>
          <w:sz w:val="28"/>
          <w:szCs w:val="28"/>
        </w:rPr>
        <w:t>一、合同审核标准</w:t>
      </w:r>
    </w:p>
    <w:p w14:paraId="07D1DC63">
      <w:pPr>
        <w:spacing w:before="0"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（一）审核依据</w:t>
      </w:r>
    </w:p>
    <w:p w14:paraId="0517F3CF">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中华人民共和国民法典》《中华人民共和国公司法》等法律、行政法规，国务院制定的除行政法规外的其他规范性文件，司法解释，最高人民法院制定的除司法解释外的其他规范性文件，部门规章，国务院各部、委员会、中国人民银行、审计署和具有行政管理职能的直属机构制定的除部门规章、地方司法指导性文件及公司章程等内部文件。</w:t>
      </w:r>
    </w:p>
    <w:p w14:paraId="15F03FF8">
      <w:pPr>
        <w:spacing w:before="0"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（二）审核具体内容</w:t>
      </w:r>
    </w:p>
    <w:p w14:paraId="2EA35130">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从合法合规性、完整性、可操作性、公平性、合理性等多个维度进行，具体内容包括但不限于以下方面：</w:t>
      </w:r>
    </w:p>
    <w:p w14:paraId="62040F45">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1.审查合同文本是否存在违反法律法规、规章、政策的情形，所适用的法律、法规是否存在已失效的情形，是否存在违反集团规定的情形。</w:t>
      </w:r>
    </w:p>
    <w:p w14:paraId="33A42C79">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2.审查合同是否存在无效或可撤销的情形，例如是否存在欺诈、胁迫、恶意串通等情形，是否存在生效日期约定不清楚的情形。</w:t>
      </w:r>
    </w:p>
    <w:p w14:paraId="7F49B32B">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3.审核合同双方是否具备签订和履行合同的资格，确认签约代表是否获得合法授权，评估对方的资信状况、经营能力等，防范履约风险。</w:t>
      </w:r>
    </w:p>
    <w:p w14:paraId="1CC202B3">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4.审核合同中条款是否齐备，合同条款之间是否逻辑通顺、形式规范，合同条款所展示的内容是否符合一般思维模式和交易流程。明确标的物的名称、规格、数量、质量等，确保清晰无歧义。核实价格是否明确，付款方式、时间、条件是否合理。审核交货时间、地点、方式，以及验收标准、流程等。明确违约情形、违约金或赔偿金的计算方式，确保具有可操作性。审核争议解决方式、管辖地等条款，确保符合企业利益。确保保密范围、期限、责任等条款明确，保护商业秘密。明确知识产权的归属、使用范围及侵权责任。明确不可抗力的范围及后果，合理分配风险。</w:t>
      </w:r>
    </w:p>
    <w:p w14:paraId="29C6E1A6">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5.审查合同中各方的权利义务是否公平合理、是否存在显失公平或重大误解的情形。各方权利义务、分配合同风险及各方违约责任是否基于当前市场经济交易秩序和交易规则而言相对公平。</w:t>
      </w:r>
    </w:p>
    <w:p w14:paraId="50511331">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6.检查合同文本的格式是否规范，文字表述是否清晰。核实合同附件是否齐全，与主合同内容是否一致。</w:t>
      </w:r>
    </w:p>
    <w:p w14:paraId="3AFDF438">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7.审查合同条款是否在法律允许范围内对本集团进行适当有利倾斜。</w:t>
      </w:r>
    </w:p>
    <w:p w14:paraId="6FF528C1">
      <w:pPr>
        <w:spacing w:before="0"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（三）关注风险点</w:t>
      </w:r>
    </w:p>
    <w:p w14:paraId="4C8F4B54">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1.主体风险：合同主体不具备签约资格或履约能力；签约代表未经授权或超越授权范围。</w:t>
      </w:r>
    </w:p>
    <w:p w14:paraId="07711BC9">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条款风险：标的条款不明确，导致履行过程中产生争议；价格条款模糊，可能引发付款纠纷；违约责任要体现公平合理性避免约定不明确或过高/过低，导致无法有效约束对方或承担过高风险；争议解决条款不合理，如管辖地不利于己方。</w:t>
      </w:r>
    </w:p>
    <w:p w14:paraId="0966EFC1">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3.履行风险：交货时间、地点、方式不明确，导致履行困难；验收标准不清晰，可能引发质量争议；付款条件过于苛刻或宽松，影响资金安全或流动性。同时审查合同中所载明的合同义务条款是否存在明显漏洞，是否可能导致存在履约风险。</w:t>
      </w:r>
    </w:p>
    <w:p w14:paraId="1BA12F7E">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4.法律风险：合同内容违反法律法规的强制性规定，导致合同无效或部分无效；合同条款显失公平，可能被撤销或变更。</w:t>
      </w:r>
    </w:p>
    <w:p w14:paraId="34BF7118">
      <w:pPr>
        <w:spacing w:before="0" w:line="560" w:lineRule="exact"/>
        <w:ind w:left="0" w:firstLine="580" w:firstLineChars="200"/>
        <w:rPr>
          <w:rFonts w:hint="eastAsia" w:ascii="黑体" w:hAnsi="黑体" w:eastAsia="黑体" w:cs="黑体"/>
          <w:spacing w:val="5"/>
          <w:sz w:val="28"/>
          <w:szCs w:val="28"/>
        </w:rPr>
      </w:pPr>
      <w:r>
        <w:rPr>
          <w:rFonts w:hint="eastAsia" w:ascii="仿宋_GB2312" w:hAnsi="仿宋_GB2312" w:eastAsia="仿宋_GB2312" w:cs="仿宋_GB2312"/>
          <w:spacing w:val="5"/>
          <w:sz w:val="28"/>
          <w:szCs w:val="28"/>
        </w:rPr>
        <w:t>5.商业风险：合同未充分考虑市场变化、政策调整等外部因素，导致履行困难；合同未明确风险分担机制，如不可抗力、情势变更等情形下的责任分配</w:t>
      </w:r>
      <w:r>
        <w:rPr>
          <w:rFonts w:hint="eastAsia" w:ascii="黑体" w:hAnsi="黑体" w:eastAsia="黑体" w:cs="黑体"/>
          <w:spacing w:val="5"/>
          <w:sz w:val="28"/>
          <w:szCs w:val="28"/>
        </w:rPr>
        <w:t>。</w:t>
      </w:r>
    </w:p>
    <w:p w14:paraId="0E2209BD">
      <w:pPr>
        <w:spacing w:before="0" w:line="560" w:lineRule="exact"/>
        <w:ind w:left="654"/>
        <w:rPr>
          <w:rFonts w:hint="eastAsia" w:ascii="黑体" w:hAnsi="黑体" w:eastAsia="黑体" w:cs="黑体"/>
          <w:spacing w:val="5"/>
          <w:sz w:val="28"/>
          <w:szCs w:val="28"/>
        </w:rPr>
      </w:pPr>
      <w:r>
        <w:rPr>
          <w:rFonts w:hint="eastAsia" w:ascii="黑体" w:hAnsi="黑体" w:eastAsia="黑体" w:cs="黑体"/>
          <w:spacing w:val="5"/>
          <w:sz w:val="28"/>
          <w:szCs w:val="28"/>
        </w:rPr>
        <w:t>二、重大决策咨询类审核标准</w:t>
      </w:r>
    </w:p>
    <w:p w14:paraId="59D14421">
      <w:pPr>
        <w:spacing w:before="0"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（一）审核依据</w:t>
      </w:r>
    </w:p>
    <w:p w14:paraId="06181FE0">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中华人民共和国民法典》《中华人民共和国公司法》等法律、行政法规，国务院制定的除行政法规外的其他规范性文件，司法解释，最高人民法院制定的除司法解释外的其他规范性文件，部门规章，国务院各部、委员会、中国人民银行、审计署和具有行政管理职能的直属机构制定的除部门规章、地方司法指导性文件及公司章程等内部文件，国家省市国资监管规则以及与重大决策事项有关的相关规定。</w:t>
      </w:r>
    </w:p>
    <w:p w14:paraId="38C388B8">
      <w:pPr>
        <w:spacing w:before="0"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（二）审核具体内容</w:t>
      </w:r>
    </w:p>
    <w:p w14:paraId="12B49B6A">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从决策事项合法性合规性、决策流程合法合规性等多个维度进行，具体内容包括但不限于以下方面：</w:t>
      </w:r>
    </w:p>
    <w:p w14:paraId="7D6D6973">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1.审查决策内容是否合法合规，是否符合公司发展战略和股东利益。</w:t>
      </w:r>
    </w:p>
    <w:p w14:paraId="188227A2">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2.审查决策内容是否存在重大法律风险，例如是否存在明显瑕疵、反垄断、知识产权、环境保护等方面的风险。</w:t>
      </w:r>
    </w:p>
    <w:p w14:paraId="4EA9612C">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3.是否符合国有企业决策流程及要求，是否符合国资监管要求、是否履行章程或公司内部制度要求的决策或审批程序。</w:t>
      </w:r>
    </w:p>
    <w:p w14:paraId="58E59B37">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4.决策文件是否完整；表述是否清晰无歧义，是否明确责任主体与执行机制。</w:t>
      </w:r>
    </w:p>
    <w:p w14:paraId="711EAE2C">
      <w:pPr>
        <w:spacing w:before="0"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（三）关注风险点</w:t>
      </w:r>
    </w:p>
    <w:p w14:paraId="3A62B18C">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1.法律合规风险：决策事项本身是否存在因违反法律法规或政策变动而面临合规风险。提示决策事项涉及其他商业、审计等风险。</w:t>
      </w:r>
    </w:p>
    <w:p w14:paraId="624314DE">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2.程序瑕疵风险：事项是否经党委会前置研究，是否符合公司内部议事流程及公司制度规定。</w:t>
      </w:r>
    </w:p>
    <w:p w14:paraId="4AA7D392">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3.执行风险：决策事项是否包含配套实施方案。</w:t>
      </w:r>
    </w:p>
    <w:p w14:paraId="16F3CB58">
      <w:pPr>
        <w:spacing w:before="0" w:line="560" w:lineRule="exact"/>
        <w:ind w:left="654"/>
        <w:rPr>
          <w:rFonts w:hint="eastAsia" w:ascii="黑体" w:hAnsi="黑体" w:eastAsia="黑体" w:cs="黑体"/>
          <w:spacing w:val="5"/>
          <w:sz w:val="28"/>
          <w:szCs w:val="28"/>
        </w:rPr>
      </w:pPr>
      <w:r>
        <w:rPr>
          <w:rFonts w:hint="eastAsia" w:ascii="黑体" w:hAnsi="黑体" w:eastAsia="黑体" w:cs="黑体"/>
          <w:spacing w:val="5"/>
          <w:sz w:val="28"/>
          <w:szCs w:val="28"/>
        </w:rPr>
        <w:t>三、公司制度文件审核标准</w:t>
      </w:r>
    </w:p>
    <w:p w14:paraId="47D80EA3">
      <w:pPr>
        <w:spacing w:before="0"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（一）审核依据</w:t>
      </w:r>
    </w:p>
    <w:p w14:paraId="5964B906">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1.外部法规依据：《中华人民共和国公司法》《企业国有资产法》《关于全面推进法治央企建设的意见》、各专项领域行业监管政策等通用法律规范等。</w:t>
      </w:r>
    </w:p>
    <w:p w14:paraId="305ECF25">
      <w:pPr>
        <w:spacing w:before="0" w:line="560" w:lineRule="exact"/>
        <w:ind w:left="0" w:firstLine="580" w:firstLineChars="200"/>
        <w:rPr>
          <w:rFonts w:hint="eastAsia" w:ascii="仿宋_GB2312" w:hAnsi="仿宋_GB2312" w:eastAsia="仿宋_GB2312" w:cs="仿宋_GB2312"/>
          <w:spacing w:val="5"/>
          <w:sz w:val="28"/>
          <w:szCs w:val="28"/>
        </w:rPr>
      </w:pPr>
      <w:r>
        <w:rPr>
          <w:rFonts w:hint="eastAsia" w:ascii="仿宋_GB2312" w:hAnsi="仿宋_GB2312" w:eastAsia="仿宋_GB2312" w:cs="仿宋_GB2312"/>
          <w:spacing w:val="5"/>
          <w:sz w:val="28"/>
          <w:szCs w:val="28"/>
        </w:rPr>
        <w:t>2.内部制度依据：公司章程及法人治理结构文件、企业现行有效制度体系、董事会/党委会审批权限清单、合规管理体系建设专项规划等。</w:t>
      </w:r>
    </w:p>
    <w:p w14:paraId="35FD0A92">
      <w:pPr>
        <w:spacing w:before="0"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（二）审核具体内容</w:t>
      </w:r>
    </w:p>
    <w:p w14:paraId="2E04A1B9">
      <w:pPr>
        <w:pStyle w:val="4"/>
        <w:spacing w:line="560" w:lineRule="exact"/>
        <w:ind w:firstLine="580" w:firstLineChars="200"/>
      </w:pPr>
      <w:r>
        <w:rPr>
          <w:rFonts w:hint="eastAsia" w:ascii="仿宋_GB2312" w:hAnsi="仿宋_GB2312" w:eastAsia="仿宋_GB2312" w:cs="仿宋_GB2312"/>
          <w:spacing w:val="5"/>
          <w:sz w:val="28"/>
          <w:szCs w:val="28"/>
        </w:rPr>
        <w:t>1.合法性审查：内容上，制度条款是否违反法律、行政法规禁止性规定，是否符合公司业务实际情况。程序上，涉及员工切身利益的制度是否履行民主程序。权限上，制度制定主体是否符合公司章程授权。</w:t>
      </w:r>
    </w:p>
    <w:p w14:paraId="27F1E3A3">
      <w:pPr>
        <w:pStyle w:val="4"/>
        <w:spacing w:line="560" w:lineRule="exact"/>
        <w:ind w:firstLine="580" w:firstLineChars="200"/>
        <w:rPr>
          <w:rFonts w:hint="eastAsia"/>
          <w:spacing w:val="5"/>
          <w:lang w:val="en-US" w:bidi="ar-SA"/>
        </w:rPr>
      </w:pPr>
      <w:r>
        <w:rPr>
          <w:rFonts w:hint="eastAsia"/>
          <w:spacing w:val="5"/>
          <w:lang w:val="en-US" w:bidi="ar-SA"/>
        </w:rPr>
        <w:t>2.合规性、协调性审查：是否符合国资委对国企的特殊要求。制度层级是否</w:t>
      </w:r>
      <w:r>
        <w:rPr>
          <w:rFonts w:hint="eastAsia"/>
          <w:spacing w:val="5"/>
          <w:lang w:val="en-US" w:eastAsia="zh-CN" w:bidi="ar-SA"/>
        </w:rPr>
        <w:t>清晰</w:t>
      </w:r>
      <w:r>
        <w:rPr>
          <w:rFonts w:hint="eastAsia"/>
          <w:spacing w:val="5"/>
          <w:lang w:val="en-US" w:bidi="ar-SA"/>
        </w:rPr>
        <w:t>、制度之间是否存在冲突、新制度是否与上级单位制度冲突、不同部门之间制度是否存在矛盾。</w:t>
      </w:r>
    </w:p>
    <w:p w14:paraId="2C310046">
      <w:pPr>
        <w:pStyle w:val="4"/>
        <w:spacing w:line="560" w:lineRule="exact"/>
        <w:ind w:firstLine="580" w:firstLineChars="200"/>
        <w:rPr>
          <w:rFonts w:hint="eastAsia"/>
          <w:spacing w:val="5"/>
          <w:lang w:val="en-US" w:bidi="ar-SA"/>
        </w:rPr>
      </w:pPr>
      <w:r>
        <w:rPr>
          <w:rFonts w:hint="eastAsia"/>
          <w:spacing w:val="5"/>
          <w:lang w:val="en-US" w:bidi="ar-SA"/>
        </w:rPr>
        <w:t>3.可操作性审查：制度上，责任主体、流程节点、标准是否清晰。执行中，是否配套审批流程、表单模板、信息系统支持。</w:t>
      </w:r>
    </w:p>
    <w:p w14:paraId="27E800AE">
      <w:pPr>
        <w:spacing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（三）关注风险点</w:t>
      </w:r>
    </w:p>
    <w:p w14:paraId="5DC98DC7">
      <w:pPr>
        <w:pStyle w:val="4"/>
        <w:spacing w:line="560" w:lineRule="exact"/>
        <w:ind w:firstLine="580" w:firstLineChars="200"/>
        <w:rPr>
          <w:rFonts w:hint="eastAsia"/>
          <w:spacing w:val="5"/>
          <w:lang w:val="en-US" w:bidi="ar-SA"/>
        </w:rPr>
      </w:pPr>
      <w:r>
        <w:rPr>
          <w:rFonts w:hint="eastAsia"/>
          <w:spacing w:val="5"/>
          <w:lang w:val="en-US" w:bidi="ar-SA"/>
        </w:rPr>
        <w:t>1.制度条款是否违反法律强制规定，导致无效或行政处罚。制度文件有无上位法规、制度依据，属于基本管理制度或是部门制度文件，文件出台流程及审批层级是否符合法律及公司内部文件规定。</w:t>
      </w:r>
    </w:p>
    <w:p w14:paraId="4AAF731D">
      <w:pPr>
        <w:pStyle w:val="4"/>
        <w:spacing w:line="560" w:lineRule="exact"/>
        <w:ind w:firstLine="580" w:firstLineChars="200"/>
        <w:rPr>
          <w:rFonts w:hint="eastAsia"/>
          <w:spacing w:val="5"/>
          <w:lang w:val="en-US" w:bidi="ar-SA"/>
        </w:rPr>
      </w:pPr>
      <w:r>
        <w:rPr>
          <w:rFonts w:hint="eastAsia"/>
          <w:spacing w:val="5"/>
          <w:lang w:val="en-US" w:bidi="ar-SA"/>
        </w:rPr>
        <w:t>2.制度文件规定事项适用范围、责任部门权责及分工、流程安排等是否符合法律及公司业务实际情况，有无优化空间，提供操作建议。</w:t>
      </w:r>
    </w:p>
    <w:p w14:paraId="343E749D">
      <w:pPr>
        <w:pStyle w:val="4"/>
        <w:spacing w:line="560" w:lineRule="exact"/>
        <w:ind w:firstLine="580" w:firstLineChars="200"/>
        <w:rPr>
          <w:rFonts w:hint="eastAsia"/>
          <w:spacing w:val="5"/>
          <w:lang w:val="en-US" w:bidi="ar-SA"/>
        </w:rPr>
      </w:pPr>
      <w:r>
        <w:rPr>
          <w:rFonts w:hint="eastAsia"/>
          <w:spacing w:val="5"/>
          <w:lang w:val="en-US" w:bidi="ar-SA"/>
        </w:rPr>
        <w:t>3.制度是否与实际操作脱节，制度归口制定部门及有效期限是否合理。制度是否与现行公司制度所规定内容相互冲突等。</w:t>
      </w:r>
    </w:p>
    <w:p w14:paraId="74598A27">
      <w:pPr>
        <w:spacing w:line="560" w:lineRule="exact"/>
        <w:ind w:left="654"/>
        <w:rPr>
          <w:rFonts w:hint="eastAsia" w:ascii="黑体" w:hAnsi="黑体" w:eastAsia="黑体" w:cs="黑体"/>
          <w:spacing w:val="5"/>
          <w:sz w:val="28"/>
          <w:szCs w:val="28"/>
        </w:rPr>
      </w:pPr>
      <w:r>
        <w:rPr>
          <w:rFonts w:hint="eastAsia" w:ascii="黑体" w:hAnsi="黑体" w:eastAsia="黑体" w:cs="黑体"/>
          <w:spacing w:val="5"/>
          <w:sz w:val="28"/>
          <w:szCs w:val="28"/>
        </w:rPr>
        <w:t>四、专项委托服务事项审核标准</w:t>
      </w:r>
    </w:p>
    <w:p w14:paraId="7BA08CAA">
      <w:pPr>
        <w:spacing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（一）审核依据</w:t>
      </w:r>
    </w:p>
    <w:p w14:paraId="4AAFEF7B">
      <w:pPr>
        <w:pStyle w:val="4"/>
        <w:spacing w:line="560" w:lineRule="exact"/>
        <w:ind w:firstLine="580" w:firstLineChars="200"/>
        <w:rPr>
          <w:rFonts w:hint="eastAsia"/>
          <w:spacing w:val="5"/>
          <w:lang w:val="en-US" w:bidi="ar-SA"/>
        </w:rPr>
      </w:pPr>
      <w:r>
        <w:rPr>
          <w:rFonts w:hint="eastAsia"/>
          <w:spacing w:val="5"/>
          <w:lang w:val="en-US" w:bidi="ar-SA"/>
        </w:rPr>
        <w:t>根据委托事项不同适用专门的法律法规规定。包括但不限于《中华人民共和国民法典》《中华人民共和国公司法》等法律、行政法规，国务院制定的除行政法规外的其他规范性文件，司法解释，最高人民法院制定的除司法解释外的其他规范性文件，部门规章，国务院各部、委员会、中国人民银行、审计署和具有行政管理职能的直属机构制定的除部门规章、地方司法指导性文件及公司章程等内部文件。</w:t>
      </w:r>
    </w:p>
    <w:p w14:paraId="6F74ECA5">
      <w:pPr>
        <w:spacing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（二）审核具体内容</w:t>
      </w:r>
    </w:p>
    <w:p w14:paraId="5AF54545">
      <w:pPr>
        <w:pStyle w:val="4"/>
        <w:spacing w:line="560" w:lineRule="exact"/>
        <w:ind w:firstLine="580" w:firstLineChars="200"/>
        <w:rPr>
          <w:rFonts w:hint="eastAsia"/>
          <w:spacing w:val="5"/>
          <w:lang w:val="en-US" w:bidi="ar-SA"/>
        </w:rPr>
      </w:pPr>
      <w:r>
        <w:rPr>
          <w:rFonts w:hint="eastAsia"/>
          <w:spacing w:val="5"/>
          <w:lang w:val="en-US" w:bidi="ar-SA"/>
        </w:rPr>
        <w:t>根据具体服务内容确定，如：</w:t>
      </w:r>
    </w:p>
    <w:p w14:paraId="02466EE4">
      <w:pPr>
        <w:pStyle w:val="4"/>
        <w:spacing w:line="560" w:lineRule="exact"/>
        <w:ind w:firstLine="580" w:firstLineChars="200"/>
        <w:rPr>
          <w:rFonts w:hint="eastAsia"/>
          <w:spacing w:val="5"/>
          <w:lang w:val="en-US" w:bidi="ar-SA"/>
        </w:rPr>
      </w:pPr>
      <w:r>
        <w:rPr>
          <w:rFonts w:hint="eastAsia"/>
          <w:spacing w:val="5"/>
          <w:lang w:val="en-US" w:bidi="ar-SA"/>
        </w:rPr>
        <w:t>1.尽职调查中：主要核查①交易标的权属是否清晰、有无争议纠纷；②交易标的取得合法合规性；③交易标的资产负债情况；④交易标的对应处罚、诉讼纠纷情况；⑤交易标的转让可行性及是否具有障碍瑕疵； ⑥交易标的转让风险及对应防范措施。</w:t>
      </w:r>
    </w:p>
    <w:p w14:paraId="33D22DC1">
      <w:pPr>
        <w:pStyle w:val="4"/>
        <w:spacing w:line="560" w:lineRule="exact"/>
        <w:ind w:firstLine="580" w:firstLineChars="200"/>
        <w:rPr>
          <w:rFonts w:hint="eastAsia"/>
          <w:spacing w:val="5"/>
          <w:lang w:val="en-US" w:bidi="ar-SA"/>
        </w:rPr>
      </w:pPr>
      <w:r>
        <w:rPr>
          <w:rFonts w:hint="eastAsia"/>
          <w:spacing w:val="5"/>
          <w:lang w:val="en-US" w:bidi="ar-SA"/>
        </w:rPr>
        <w:t>2.知识产权中：主要核查①专利权的独创性、新颖性和实用性</w:t>
      </w:r>
      <w:r>
        <w:rPr>
          <w:rFonts w:hint="eastAsia"/>
          <w:spacing w:val="5"/>
          <w:sz w:val="28"/>
          <w:szCs w:val="28"/>
          <w:lang w:val="en-US" w:eastAsia="zh-CN" w:bidi="ar-SA"/>
        </w:rPr>
        <w:t>；</w:t>
      </w:r>
      <w:r>
        <w:rPr>
          <w:rFonts w:hint="eastAsia"/>
          <w:spacing w:val="5"/>
          <w:lang w:val="en-US" w:bidi="ar-SA"/>
        </w:rPr>
        <w:t>②涉知识产权客体是否侵犯他人在先权利等。</w:t>
      </w:r>
    </w:p>
    <w:p w14:paraId="4AE58877">
      <w:pPr>
        <w:pStyle w:val="4"/>
        <w:spacing w:line="560" w:lineRule="exact"/>
        <w:ind w:firstLine="580" w:firstLineChars="200"/>
        <w:rPr>
          <w:rFonts w:hint="eastAsia"/>
          <w:spacing w:val="5"/>
          <w:lang w:val="en-US" w:bidi="ar-SA"/>
        </w:rPr>
      </w:pPr>
      <w:r>
        <w:rPr>
          <w:rFonts w:hint="eastAsia"/>
          <w:spacing w:val="5"/>
          <w:lang w:val="en-US" w:bidi="ar-SA"/>
        </w:rPr>
        <w:t>3.劳动争议中：主要审查①劳动合同、规章制度；②用工情况；③工资发放情况</w:t>
      </w:r>
      <w:r>
        <w:rPr>
          <w:rFonts w:hint="eastAsia"/>
          <w:spacing w:val="5"/>
          <w:sz w:val="28"/>
          <w:szCs w:val="28"/>
          <w:lang w:val="en-US" w:eastAsia="zh-CN" w:bidi="ar-SA"/>
        </w:rPr>
        <w:t>；</w:t>
      </w:r>
      <w:r>
        <w:rPr>
          <w:rFonts w:hint="eastAsia"/>
          <w:spacing w:val="5"/>
          <w:lang w:val="en-US" w:bidi="ar-SA"/>
        </w:rPr>
        <w:t>④纠纷争议情况等。</w:t>
      </w:r>
    </w:p>
    <w:p w14:paraId="6FB5F2E8">
      <w:pPr>
        <w:pStyle w:val="4"/>
        <w:spacing w:line="560" w:lineRule="exact"/>
        <w:ind w:firstLine="580" w:firstLineChars="200"/>
        <w:rPr>
          <w:rFonts w:hint="eastAsia"/>
          <w:spacing w:val="5"/>
          <w:lang w:val="en-US" w:bidi="ar-SA"/>
        </w:rPr>
      </w:pPr>
      <w:r>
        <w:rPr>
          <w:rFonts w:hint="eastAsia"/>
          <w:spacing w:val="5"/>
          <w:lang w:val="en-US" w:bidi="ar-SA"/>
        </w:rPr>
        <w:t>4.其他根据需求单位设定的审查内容。</w:t>
      </w:r>
    </w:p>
    <w:p w14:paraId="1D50FC23">
      <w:pPr>
        <w:spacing w:line="560" w:lineRule="exact"/>
        <w:ind w:left="654"/>
        <w:rPr>
          <w:rFonts w:hint="eastAsia" w:ascii="楷体_GB2312" w:hAnsi="楷体_GB2312" w:eastAsia="楷体_GB2312" w:cs="楷体_GB2312"/>
          <w:spacing w:val="5"/>
          <w:sz w:val="28"/>
          <w:szCs w:val="28"/>
        </w:rPr>
      </w:pPr>
      <w:r>
        <w:rPr>
          <w:rFonts w:hint="eastAsia" w:ascii="楷体_GB2312" w:hAnsi="楷体_GB2312" w:eastAsia="楷体_GB2312" w:cs="楷体_GB2312"/>
          <w:spacing w:val="5"/>
          <w:sz w:val="28"/>
          <w:szCs w:val="28"/>
        </w:rPr>
        <w:t>（三）关注风险点</w:t>
      </w:r>
    </w:p>
    <w:p w14:paraId="72B56612">
      <w:pPr>
        <w:pStyle w:val="4"/>
        <w:spacing w:line="560" w:lineRule="exact"/>
        <w:ind w:firstLine="580" w:firstLineChars="200"/>
        <w:rPr>
          <w:rFonts w:hint="eastAsia"/>
          <w:spacing w:val="5"/>
          <w:lang w:val="en-US" w:bidi="ar-SA"/>
        </w:rPr>
      </w:pPr>
      <w:r>
        <w:rPr>
          <w:rFonts w:hint="eastAsia"/>
          <w:spacing w:val="5"/>
          <w:lang w:val="en-US" w:bidi="ar-SA"/>
        </w:rPr>
        <w:t>根据不同专项服务内容，系统性解决企业在运营过程中面临的法律问题，针对企业特定需求的侧重点不同将进行不同角度的分析与把控。如：</w:t>
      </w:r>
    </w:p>
    <w:p w14:paraId="7325B914">
      <w:pPr>
        <w:pStyle w:val="4"/>
        <w:spacing w:line="560" w:lineRule="exact"/>
        <w:ind w:firstLine="580" w:firstLineChars="200"/>
        <w:rPr>
          <w:rFonts w:hint="eastAsia"/>
          <w:spacing w:val="5"/>
          <w:lang w:val="en-US" w:bidi="ar-SA"/>
        </w:rPr>
      </w:pPr>
      <w:r>
        <w:rPr>
          <w:rFonts w:hint="eastAsia"/>
          <w:spacing w:val="5"/>
          <w:lang w:val="en-US" w:bidi="ar-SA"/>
        </w:rPr>
        <w:t>1.核查是否存在法律、事实障碍瑕疵，评估可行性。</w:t>
      </w:r>
    </w:p>
    <w:p w14:paraId="60EFF93D">
      <w:pPr>
        <w:pStyle w:val="4"/>
        <w:spacing w:line="560" w:lineRule="exact"/>
        <w:ind w:firstLine="580" w:firstLineChars="200"/>
        <w:rPr>
          <w:rFonts w:hint="eastAsia"/>
          <w:spacing w:val="5"/>
          <w:lang w:val="en-US" w:bidi="ar-SA"/>
        </w:rPr>
      </w:pPr>
      <w:r>
        <w:rPr>
          <w:rFonts w:hint="eastAsia"/>
          <w:spacing w:val="5"/>
          <w:lang w:val="en-US" w:bidi="ar-SA"/>
        </w:rPr>
        <w:t>2.核查、起草交易文件，注重维护公司的权利及利益，参与公司与交易对手谈判。</w:t>
      </w:r>
    </w:p>
    <w:p w14:paraId="7F75ED54">
      <w:pPr>
        <w:pStyle w:val="4"/>
        <w:spacing w:line="560" w:lineRule="exact"/>
        <w:ind w:firstLine="580" w:firstLineChars="200"/>
        <w:rPr>
          <w:rFonts w:hint="eastAsia"/>
          <w:spacing w:val="5"/>
          <w:sz w:val="28"/>
          <w:szCs w:val="28"/>
          <w:lang w:val="en-US" w:bidi="ar-SA"/>
        </w:rPr>
      </w:pPr>
      <w:r>
        <w:rPr>
          <w:rFonts w:hint="eastAsia"/>
          <w:spacing w:val="5"/>
          <w:lang w:val="en-US" w:bidi="ar-SA"/>
        </w:rPr>
        <w:t>3.核查项目中所涉标的权属情况、取得合法合规性、资产负债、行政处罚、诉讼纠纷等基本情况。</w:t>
      </w:r>
    </w:p>
    <w:p w14:paraId="4E34C0A5">
      <w:pPr>
        <w:pStyle w:val="4"/>
        <w:spacing w:line="323" w:lineRule="auto"/>
        <w:ind w:firstLine="580" w:firstLineChars="200"/>
        <w:rPr>
          <w:rFonts w:hint="eastAsia"/>
          <w:spacing w:val="5"/>
          <w:lang w:val="en-US" w:bidi="ar-SA"/>
        </w:rPr>
      </w:pPr>
    </w:p>
    <w:p w14:paraId="2635620E">
      <w:pPr>
        <w:spacing w:before="102" w:line="219" w:lineRule="auto"/>
        <w:ind w:left="670"/>
        <w:rPr>
          <w:rFonts w:hint="eastAsia" w:ascii="仿宋_GB2312" w:hAnsi="仿宋_GB2312" w:eastAsia="仿宋_GB2312" w:cs="仿宋_GB2312"/>
          <w:sz w:val="28"/>
          <w:szCs w:val="28"/>
        </w:rPr>
      </w:pPr>
      <w:r>
        <w:rPr>
          <w:rFonts w:hint="eastAsia" w:ascii="仿宋_GB2312" w:hAnsi="仿宋_GB2312" w:eastAsia="仿宋_GB2312" w:cs="仿宋_GB2312"/>
          <w:spacing w:val="5"/>
          <w:sz w:val="28"/>
          <w:szCs w:val="28"/>
        </w:rPr>
        <w:t>附件：评分标准表</w:t>
      </w:r>
    </w:p>
    <w:p w14:paraId="10DD7AAE">
      <w:pPr>
        <w:spacing w:line="219" w:lineRule="auto"/>
        <w:rPr>
          <w:rFonts w:ascii="FangSong_GB2312" w:hAnsi="FangSong_GB2312" w:eastAsia="FangSong_GB2312" w:cs="FangSong_GB2312"/>
          <w:sz w:val="28"/>
          <w:szCs w:val="28"/>
        </w:rPr>
        <w:sectPr>
          <w:footerReference r:id="rId4" w:type="default"/>
          <w:pgSz w:w="11906" w:h="16838"/>
          <w:pgMar w:top="1431" w:right="1473" w:bottom="1308" w:left="1592" w:header="0" w:footer="944" w:gutter="0"/>
          <w:pgNumType w:fmt="decimal" w:start="1"/>
          <w:cols w:space="720" w:num="1"/>
        </w:sectPr>
      </w:pPr>
    </w:p>
    <w:p w14:paraId="1AF1A2CC">
      <w:pPr>
        <w:spacing w:before="120" w:beforeLines="50" w:after="120" w:afterLines="50" w:line="240" w:lineRule="auto"/>
        <w:ind w:left="0"/>
        <w:rPr>
          <w:rFonts w:hint="eastAsia" w:ascii="仿宋_GB2312" w:hAnsi="仿宋_GB2312" w:eastAsia="仿宋_GB2312" w:cs="仿宋_GB2312"/>
          <w:b/>
          <w:bCs/>
          <w:sz w:val="21"/>
          <w:szCs w:val="28"/>
          <w:lang w:eastAsia="zh-CN"/>
        </w:rPr>
      </w:pPr>
      <w:r>
        <w:rPr>
          <w:rFonts w:hint="eastAsia" w:ascii="仿宋_GB2312" w:hAnsi="仿宋_GB2312" w:eastAsia="仿宋_GB2312" w:cs="仿宋_GB2312"/>
          <w:b/>
          <w:bCs/>
          <w:spacing w:val="0"/>
          <w:sz w:val="21"/>
          <w:szCs w:val="28"/>
        </w:rPr>
        <w:t>附件</w:t>
      </w:r>
      <w:r>
        <w:rPr>
          <w:rFonts w:hint="eastAsia" w:ascii="仿宋_GB2312" w:hAnsi="仿宋_GB2312" w:eastAsia="仿宋_GB2312" w:cs="仿宋_GB2312"/>
          <w:b/>
          <w:bCs/>
          <w:spacing w:val="0"/>
          <w:sz w:val="21"/>
          <w:szCs w:val="28"/>
          <w:lang w:eastAsia="zh-CN"/>
        </w:rPr>
        <w:t>：</w:t>
      </w:r>
      <w:r>
        <w:rPr>
          <w:rFonts w:hint="eastAsia" w:ascii="仿宋_GB2312" w:hAnsi="仿宋_GB2312" w:eastAsia="仿宋_GB2312" w:cs="仿宋_GB2312"/>
          <w:b/>
          <w:bCs/>
          <w:spacing w:val="0"/>
          <w:sz w:val="21"/>
          <w:szCs w:val="28"/>
        </w:rPr>
        <w:t>评分标准表</w:t>
      </w:r>
    </w:p>
    <w:p w14:paraId="4E2DB5F7">
      <w:pPr>
        <w:spacing w:line="91" w:lineRule="exact"/>
      </w:pPr>
    </w:p>
    <w:tbl>
      <w:tblPr>
        <w:tblStyle w:val="14"/>
        <w:tblW w:w="9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1349"/>
        <w:gridCol w:w="2430"/>
        <w:gridCol w:w="872"/>
        <w:gridCol w:w="590"/>
        <w:gridCol w:w="590"/>
        <w:gridCol w:w="590"/>
        <w:gridCol w:w="731"/>
        <w:gridCol w:w="596"/>
      </w:tblGrid>
      <w:tr w14:paraId="3741B0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7" w:hRule="atLeast"/>
        </w:trPr>
        <w:tc>
          <w:tcPr>
            <w:tcW w:w="9180" w:type="dxa"/>
            <w:gridSpan w:val="9"/>
            <w:vAlign w:val="top"/>
          </w:tcPr>
          <w:p w14:paraId="129DB920">
            <w:pPr>
              <w:spacing w:before="164" w:line="227" w:lineRule="auto"/>
              <w:ind w:left="3795"/>
              <w:outlineLvl w:val="0"/>
              <w:rPr>
                <w:rFonts w:ascii="黑体" w:hAnsi="黑体" w:eastAsia="黑体" w:cs="黑体"/>
                <w:sz w:val="31"/>
                <w:szCs w:val="31"/>
              </w:rPr>
            </w:pPr>
            <w:r>
              <w:rPr>
                <w:rFonts w:ascii="黑体" w:hAnsi="黑体" w:eastAsia="黑体" w:cs="黑体"/>
                <w:b/>
                <w:bCs/>
                <w:spacing w:val="5"/>
                <w:sz w:val="31"/>
                <w:szCs w:val="31"/>
              </w:rPr>
              <w:t>评分标准表</w:t>
            </w:r>
          </w:p>
        </w:tc>
      </w:tr>
      <w:tr w14:paraId="067DE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restart"/>
            <w:tcBorders>
              <w:bottom w:val="nil"/>
            </w:tcBorders>
            <w:vAlign w:val="top"/>
          </w:tcPr>
          <w:p w14:paraId="31F20C3F">
            <w:pPr>
              <w:pStyle w:val="15"/>
              <w:spacing w:line="451" w:lineRule="auto"/>
              <w:rPr>
                <w:rFonts w:hint="eastAsia" w:ascii="仿宋_GB2312" w:hAnsi="仿宋_GB2312" w:eastAsia="仿宋_GB2312" w:cs="仿宋_GB2312"/>
              </w:rPr>
            </w:pPr>
          </w:p>
          <w:p w14:paraId="3B7818FB">
            <w:pPr>
              <w:spacing w:before="72" w:line="220" w:lineRule="auto"/>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文件类型</w:t>
            </w:r>
          </w:p>
        </w:tc>
        <w:tc>
          <w:tcPr>
            <w:tcW w:w="1349" w:type="dxa"/>
            <w:vMerge w:val="restart"/>
            <w:tcBorders>
              <w:bottom w:val="nil"/>
            </w:tcBorders>
            <w:vAlign w:val="top"/>
          </w:tcPr>
          <w:p w14:paraId="54DDBF37">
            <w:pPr>
              <w:pStyle w:val="15"/>
              <w:spacing w:line="451" w:lineRule="auto"/>
              <w:rPr>
                <w:rFonts w:hint="eastAsia" w:ascii="仿宋_GB2312" w:hAnsi="仿宋_GB2312" w:eastAsia="仿宋_GB2312" w:cs="仿宋_GB2312"/>
              </w:rPr>
            </w:pPr>
          </w:p>
          <w:p w14:paraId="077DE4E2">
            <w:pPr>
              <w:spacing w:before="72" w:line="221" w:lineRule="auto"/>
              <w:ind w:left="110"/>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评分项</w:t>
            </w:r>
          </w:p>
        </w:tc>
        <w:tc>
          <w:tcPr>
            <w:tcW w:w="2430" w:type="dxa"/>
            <w:vMerge w:val="restart"/>
            <w:tcBorders>
              <w:bottom w:val="nil"/>
            </w:tcBorders>
            <w:vAlign w:val="top"/>
          </w:tcPr>
          <w:p w14:paraId="0396B9D1">
            <w:pPr>
              <w:pStyle w:val="15"/>
              <w:spacing w:line="451" w:lineRule="auto"/>
              <w:rPr>
                <w:rFonts w:hint="eastAsia" w:ascii="仿宋_GB2312" w:hAnsi="仿宋_GB2312" w:eastAsia="仿宋_GB2312" w:cs="仿宋_GB2312"/>
              </w:rPr>
            </w:pPr>
          </w:p>
          <w:p w14:paraId="0F6FB601">
            <w:pPr>
              <w:spacing w:before="72" w:line="220" w:lineRule="auto"/>
              <w:ind w:left="11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评分内容</w:t>
            </w:r>
          </w:p>
        </w:tc>
        <w:tc>
          <w:tcPr>
            <w:tcW w:w="872" w:type="dxa"/>
            <w:vMerge w:val="restart"/>
            <w:tcBorders>
              <w:bottom w:val="nil"/>
            </w:tcBorders>
            <w:vAlign w:val="top"/>
          </w:tcPr>
          <w:p w14:paraId="195163B8">
            <w:pPr>
              <w:pStyle w:val="15"/>
              <w:spacing w:line="291" w:lineRule="auto"/>
              <w:rPr>
                <w:rFonts w:hint="eastAsia" w:ascii="仿宋_GB2312" w:hAnsi="仿宋_GB2312" w:eastAsia="仿宋_GB2312" w:cs="仿宋_GB2312"/>
              </w:rPr>
            </w:pPr>
          </w:p>
          <w:p w14:paraId="26DC0D10">
            <w:pPr>
              <w:spacing w:before="72" w:line="270" w:lineRule="auto"/>
              <w:ind w:left="117" w:right="318" w:hanging="3"/>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权重</w:t>
            </w:r>
            <w:r>
              <w:rPr>
                <w:rFonts w:hint="eastAsia" w:ascii="仿宋_GB2312" w:hAnsi="仿宋_GB2312" w:eastAsia="仿宋_GB2312" w:cs="仿宋_GB2312"/>
                <w:spacing w:val="-5"/>
                <w:sz w:val="22"/>
                <w:szCs w:val="22"/>
              </w:rPr>
              <w:t>分值</w:t>
            </w:r>
          </w:p>
        </w:tc>
        <w:tc>
          <w:tcPr>
            <w:tcW w:w="2501" w:type="dxa"/>
            <w:gridSpan w:val="4"/>
            <w:vAlign w:val="top"/>
          </w:tcPr>
          <w:p w14:paraId="5BFD2390">
            <w:pPr>
              <w:spacing w:before="201" w:line="221" w:lineRule="auto"/>
              <w:ind w:left="1037"/>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评级</w:t>
            </w:r>
          </w:p>
        </w:tc>
        <w:tc>
          <w:tcPr>
            <w:tcW w:w="596" w:type="dxa"/>
            <w:vMerge w:val="restart"/>
            <w:tcBorders>
              <w:bottom w:val="nil"/>
            </w:tcBorders>
            <w:textDirection w:val="tbRlV"/>
            <w:vAlign w:val="top"/>
          </w:tcPr>
          <w:p w14:paraId="0DAA9400">
            <w:pPr>
              <w:spacing w:before="262" w:line="207" w:lineRule="auto"/>
              <w:ind w:left="365"/>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扣</w:t>
            </w:r>
            <w:r>
              <w:rPr>
                <w:rFonts w:hint="eastAsia" w:ascii="仿宋_GB2312" w:hAnsi="仿宋_GB2312" w:eastAsia="仿宋_GB2312" w:cs="仿宋_GB2312"/>
                <w:spacing w:val="-12"/>
                <w:sz w:val="22"/>
                <w:szCs w:val="22"/>
              </w:rPr>
              <w:t xml:space="preserve"> </w:t>
            </w:r>
            <w:r>
              <w:rPr>
                <w:rFonts w:hint="eastAsia" w:ascii="仿宋_GB2312" w:hAnsi="仿宋_GB2312" w:eastAsia="仿宋_GB2312" w:cs="仿宋_GB2312"/>
                <w:sz w:val="22"/>
                <w:szCs w:val="22"/>
              </w:rPr>
              <w:t>分</w:t>
            </w:r>
          </w:p>
        </w:tc>
      </w:tr>
      <w:tr w14:paraId="101B6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32" w:type="dxa"/>
            <w:vMerge w:val="continue"/>
            <w:tcBorders>
              <w:top w:val="nil"/>
            </w:tcBorders>
            <w:vAlign w:val="top"/>
          </w:tcPr>
          <w:p w14:paraId="49EE002F">
            <w:pPr>
              <w:pStyle w:val="15"/>
              <w:rPr>
                <w:rFonts w:hint="eastAsia" w:ascii="仿宋_GB2312" w:hAnsi="仿宋_GB2312" w:eastAsia="仿宋_GB2312" w:cs="仿宋_GB2312"/>
              </w:rPr>
            </w:pPr>
          </w:p>
        </w:tc>
        <w:tc>
          <w:tcPr>
            <w:tcW w:w="1349" w:type="dxa"/>
            <w:vMerge w:val="continue"/>
            <w:tcBorders>
              <w:top w:val="nil"/>
            </w:tcBorders>
            <w:vAlign w:val="top"/>
          </w:tcPr>
          <w:p w14:paraId="31E33F89">
            <w:pPr>
              <w:pStyle w:val="15"/>
              <w:rPr>
                <w:rFonts w:hint="eastAsia" w:ascii="仿宋_GB2312" w:hAnsi="仿宋_GB2312" w:eastAsia="仿宋_GB2312" w:cs="仿宋_GB2312"/>
              </w:rPr>
            </w:pPr>
          </w:p>
        </w:tc>
        <w:tc>
          <w:tcPr>
            <w:tcW w:w="2430" w:type="dxa"/>
            <w:vMerge w:val="continue"/>
            <w:tcBorders>
              <w:top w:val="nil"/>
            </w:tcBorders>
            <w:vAlign w:val="top"/>
          </w:tcPr>
          <w:p w14:paraId="38FA4867">
            <w:pPr>
              <w:pStyle w:val="15"/>
              <w:rPr>
                <w:rFonts w:hint="eastAsia" w:ascii="仿宋_GB2312" w:hAnsi="仿宋_GB2312" w:eastAsia="仿宋_GB2312" w:cs="仿宋_GB2312"/>
              </w:rPr>
            </w:pPr>
          </w:p>
        </w:tc>
        <w:tc>
          <w:tcPr>
            <w:tcW w:w="872" w:type="dxa"/>
            <w:vMerge w:val="continue"/>
            <w:tcBorders>
              <w:top w:val="nil"/>
            </w:tcBorders>
            <w:vAlign w:val="top"/>
          </w:tcPr>
          <w:p w14:paraId="120BD121">
            <w:pPr>
              <w:pStyle w:val="15"/>
              <w:rPr>
                <w:rFonts w:hint="eastAsia" w:ascii="仿宋_GB2312" w:hAnsi="仿宋_GB2312" w:eastAsia="仿宋_GB2312" w:cs="仿宋_GB2312"/>
              </w:rPr>
            </w:pPr>
          </w:p>
        </w:tc>
        <w:tc>
          <w:tcPr>
            <w:tcW w:w="590" w:type="dxa"/>
            <w:textDirection w:val="tbRlV"/>
            <w:vAlign w:val="top"/>
          </w:tcPr>
          <w:p w14:paraId="3403DF6F">
            <w:pPr>
              <w:spacing w:before="258" w:line="209" w:lineRule="auto"/>
              <w:ind w:left="47"/>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优</w:t>
            </w:r>
            <w:r>
              <w:rPr>
                <w:rFonts w:hint="eastAsia" w:ascii="仿宋_GB2312" w:hAnsi="仿宋_GB2312" w:eastAsia="仿宋_GB2312" w:cs="仿宋_GB2312"/>
                <w:spacing w:val="-12"/>
                <w:sz w:val="22"/>
                <w:szCs w:val="22"/>
              </w:rPr>
              <w:t xml:space="preserve"> </w:t>
            </w:r>
            <w:r>
              <w:rPr>
                <w:rFonts w:hint="eastAsia" w:ascii="仿宋_GB2312" w:hAnsi="仿宋_GB2312" w:eastAsia="仿宋_GB2312" w:cs="仿宋_GB2312"/>
                <w:sz w:val="22"/>
                <w:szCs w:val="22"/>
              </w:rPr>
              <w:t>秀</w:t>
            </w:r>
          </w:p>
        </w:tc>
        <w:tc>
          <w:tcPr>
            <w:tcW w:w="590" w:type="dxa"/>
            <w:textDirection w:val="tbRlV"/>
            <w:vAlign w:val="top"/>
          </w:tcPr>
          <w:p w14:paraId="1E11A17C">
            <w:pPr>
              <w:spacing w:before="258" w:line="200" w:lineRule="auto"/>
              <w:ind w:left="47"/>
              <w:rPr>
                <w:rFonts w:hint="eastAsia" w:ascii="仿宋_GB2312" w:hAnsi="仿宋_GB2312" w:eastAsia="仿宋_GB2312" w:cs="仿宋_GB2312"/>
                <w:sz w:val="22"/>
                <w:szCs w:val="22"/>
              </w:rPr>
            </w:pPr>
            <w:r>
              <w:rPr>
                <w:rFonts w:hint="eastAsia" w:ascii="仿宋_GB2312" w:hAnsi="仿宋_GB2312" w:eastAsia="仿宋_GB2312" w:cs="仿宋_GB2312"/>
                <w:position w:val="1"/>
                <w:sz w:val="22"/>
                <w:szCs w:val="22"/>
              </w:rPr>
              <w:t>良</w:t>
            </w:r>
            <w:r>
              <w:rPr>
                <w:rFonts w:hint="eastAsia" w:ascii="仿宋_GB2312" w:hAnsi="仿宋_GB2312" w:eastAsia="仿宋_GB2312" w:cs="仿宋_GB2312"/>
                <w:spacing w:val="-12"/>
                <w:position w:val="1"/>
                <w:sz w:val="22"/>
                <w:szCs w:val="22"/>
              </w:rPr>
              <w:t xml:space="preserve"> </w:t>
            </w:r>
            <w:r>
              <w:rPr>
                <w:rFonts w:hint="eastAsia" w:ascii="仿宋_GB2312" w:hAnsi="仿宋_GB2312" w:eastAsia="仿宋_GB2312" w:cs="仿宋_GB2312"/>
                <w:sz w:val="22"/>
                <w:szCs w:val="22"/>
              </w:rPr>
              <w:t>好</w:t>
            </w:r>
          </w:p>
        </w:tc>
        <w:tc>
          <w:tcPr>
            <w:tcW w:w="590" w:type="dxa"/>
            <w:textDirection w:val="tbRlV"/>
            <w:vAlign w:val="top"/>
          </w:tcPr>
          <w:p w14:paraId="3DF7F83E">
            <w:pPr>
              <w:spacing w:before="257" w:line="209" w:lineRule="auto"/>
              <w:ind w:left="47"/>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合</w:t>
            </w:r>
            <w:r>
              <w:rPr>
                <w:rFonts w:hint="eastAsia" w:ascii="仿宋_GB2312" w:hAnsi="仿宋_GB2312" w:eastAsia="仿宋_GB2312" w:cs="仿宋_GB2312"/>
                <w:spacing w:val="-12"/>
                <w:sz w:val="22"/>
                <w:szCs w:val="22"/>
              </w:rPr>
              <w:t xml:space="preserve"> </w:t>
            </w:r>
            <w:r>
              <w:rPr>
                <w:rFonts w:hint="eastAsia" w:ascii="仿宋_GB2312" w:hAnsi="仿宋_GB2312" w:eastAsia="仿宋_GB2312" w:cs="仿宋_GB2312"/>
                <w:sz w:val="22"/>
                <w:szCs w:val="22"/>
              </w:rPr>
              <w:t>格</w:t>
            </w:r>
          </w:p>
        </w:tc>
        <w:tc>
          <w:tcPr>
            <w:tcW w:w="731" w:type="dxa"/>
            <w:vAlign w:val="top"/>
          </w:tcPr>
          <w:p w14:paraId="245E6112">
            <w:pPr>
              <w:spacing w:before="48" w:line="245" w:lineRule="auto"/>
              <w:ind w:left="115" w:right="177" w:firstLine="3"/>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不合</w:t>
            </w:r>
            <w:r>
              <w:rPr>
                <w:rFonts w:hint="eastAsia" w:ascii="仿宋_GB2312" w:hAnsi="仿宋_GB2312" w:eastAsia="仿宋_GB2312" w:cs="仿宋_GB2312"/>
                <w:sz w:val="22"/>
                <w:szCs w:val="22"/>
              </w:rPr>
              <w:t>格</w:t>
            </w:r>
          </w:p>
        </w:tc>
        <w:tc>
          <w:tcPr>
            <w:tcW w:w="596" w:type="dxa"/>
            <w:vMerge w:val="continue"/>
            <w:tcBorders>
              <w:top w:val="nil"/>
            </w:tcBorders>
            <w:textDirection w:val="tbRlV"/>
            <w:vAlign w:val="top"/>
          </w:tcPr>
          <w:p w14:paraId="71A7AF26">
            <w:pPr>
              <w:pStyle w:val="15"/>
              <w:rPr>
                <w:rFonts w:hint="eastAsia" w:ascii="仿宋_GB2312" w:hAnsi="仿宋_GB2312" w:eastAsia="仿宋_GB2312" w:cs="仿宋_GB2312"/>
              </w:rPr>
            </w:pPr>
          </w:p>
        </w:tc>
      </w:tr>
      <w:tr w14:paraId="65E7C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restart"/>
            <w:tcBorders>
              <w:bottom w:val="nil"/>
            </w:tcBorders>
            <w:vAlign w:val="top"/>
          </w:tcPr>
          <w:p w14:paraId="564C43E5">
            <w:pPr>
              <w:pStyle w:val="15"/>
              <w:spacing w:line="255" w:lineRule="auto"/>
              <w:rPr>
                <w:rFonts w:hint="eastAsia" w:ascii="仿宋_GB2312" w:hAnsi="仿宋_GB2312" w:eastAsia="仿宋_GB2312" w:cs="仿宋_GB2312"/>
              </w:rPr>
            </w:pPr>
          </w:p>
          <w:p w14:paraId="7AAD4A40">
            <w:pPr>
              <w:pStyle w:val="15"/>
              <w:spacing w:line="255" w:lineRule="auto"/>
              <w:rPr>
                <w:rFonts w:hint="eastAsia" w:ascii="仿宋_GB2312" w:hAnsi="仿宋_GB2312" w:eastAsia="仿宋_GB2312" w:cs="仿宋_GB2312"/>
              </w:rPr>
            </w:pPr>
          </w:p>
          <w:p w14:paraId="454C5692">
            <w:pPr>
              <w:pStyle w:val="15"/>
              <w:spacing w:line="255" w:lineRule="auto"/>
              <w:rPr>
                <w:rFonts w:hint="eastAsia" w:ascii="仿宋_GB2312" w:hAnsi="仿宋_GB2312" w:eastAsia="仿宋_GB2312" w:cs="仿宋_GB2312"/>
              </w:rPr>
            </w:pPr>
          </w:p>
          <w:p w14:paraId="108FD692">
            <w:pPr>
              <w:pStyle w:val="15"/>
              <w:spacing w:line="255" w:lineRule="auto"/>
              <w:rPr>
                <w:rFonts w:hint="eastAsia" w:ascii="仿宋_GB2312" w:hAnsi="仿宋_GB2312" w:eastAsia="仿宋_GB2312" w:cs="仿宋_GB2312"/>
              </w:rPr>
            </w:pPr>
          </w:p>
          <w:p w14:paraId="1A02703D">
            <w:pPr>
              <w:pStyle w:val="15"/>
              <w:spacing w:line="255" w:lineRule="auto"/>
              <w:rPr>
                <w:rFonts w:hint="eastAsia" w:ascii="仿宋_GB2312" w:hAnsi="仿宋_GB2312" w:eastAsia="仿宋_GB2312" w:cs="仿宋_GB2312"/>
              </w:rPr>
            </w:pPr>
          </w:p>
          <w:p w14:paraId="7EE76222">
            <w:pPr>
              <w:pStyle w:val="15"/>
              <w:spacing w:line="255" w:lineRule="auto"/>
              <w:rPr>
                <w:rFonts w:hint="eastAsia" w:ascii="仿宋_GB2312" w:hAnsi="仿宋_GB2312" w:eastAsia="仿宋_GB2312" w:cs="仿宋_GB2312"/>
              </w:rPr>
            </w:pPr>
          </w:p>
          <w:p w14:paraId="1B3D5067">
            <w:pPr>
              <w:pStyle w:val="15"/>
              <w:spacing w:line="255" w:lineRule="auto"/>
              <w:rPr>
                <w:rFonts w:hint="eastAsia" w:ascii="仿宋_GB2312" w:hAnsi="仿宋_GB2312" w:eastAsia="仿宋_GB2312" w:cs="仿宋_GB2312"/>
              </w:rPr>
            </w:pPr>
          </w:p>
          <w:p w14:paraId="4E1D54E6">
            <w:pPr>
              <w:pStyle w:val="15"/>
              <w:spacing w:line="255" w:lineRule="auto"/>
              <w:rPr>
                <w:rFonts w:hint="eastAsia" w:ascii="仿宋_GB2312" w:hAnsi="仿宋_GB2312" w:eastAsia="仿宋_GB2312" w:cs="仿宋_GB2312"/>
              </w:rPr>
            </w:pPr>
          </w:p>
          <w:p w14:paraId="775D71A3">
            <w:pPr>
              <w:pStyle w:val="15"/>
              <w:spacing w:line="255" w:lineRule="auto"/>
              <w:rPr>
                <w:rFonts w:hint="eastAsia" w:ascii="仿宋_GB2312" w:hAnsi="仿宋_GB2312" w:eastAsia="仿宋_GB2312" w:cs="仿宋_GB2312"/>
              </w:rPr>
            </w:pPr>
          </w:p>
          <w:p w14:paraId="5C699053">
            <w:pPr>
              <w:pStyle w:val="15"/>
              <w:spacing w:line="256" w:lineRule="auto"/>
              <w:rPr>
                <w:rFonts w:hint="eastAsia" w:ascii="仿宋_GB2312" w:hAnsi="仿宋_GB2312" w:eastAsia="仿宋_GB2312" w:cs="仿宋_GB2312"/>
              </w:rPr>
            </w:pPr>
          </w:p>
          <w:p w14:paraId="4F0688E5">
            <w:pPr>
              <w:pStyle w:val="15"/>
              <w:spacing w:line="256" w:lineRule="auto"/>
              <w:rPr>
                <w:rFonts w:hint="eastAsia" w:ascii="仿宋_GB2312" w:hAnsi="仿宋_GB2312" w:eastAsia="仿宋_GB2312" w:cs="仿宋_GB2312"/>
              </w:rPr>
            </w:pPr>
          </w:p>
          <w:p w14:paraId="4428FE0C">
            <w:pPr>
              <w:spacing w:before="71" w:line="270" w:lineRule="auto"/>
              <w:ind w:left="117" w:right="328" w:hanging="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合同（100</w:t>
            </w:r>
            <w:r>
              <w:rPr>
                <w:rFonts w:hint="eastAsia" w:ascii="仿宋_GB2312" w:hAnsi="仿宋_GB2312" w:eastAsia="仿宋_GB2312" w:cs="仿宋_GB2312"/>
                <w:spacing w:val="-7"/>
                <w:sz w:val="22"/>
                <w:szCs w:val="22"/>
              </w:rPr>
              <w:t>分）</w:t>
            </w:r>
          </w:p>
        </w:tc>
        <w:tc>
          <w:tcPr>
            <w:tcW w:w="1349" w:type="dxa"/>
            <w:vAlign w:val="top"/>
          </w:tcPr>
          <w:p w14:paraId="306D820E">
            <w:pPr>
              <w:spacing w:before="203" w:line="219" w:lineRule="auto"/>
              <w:ind w:left="123"/>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审核依据</w:t>
            </w:r>
          </w:p>
        </w:tc>
        <w:tc>
          <w:tcPr>
            <w:tcW w:w="2430" w:type="dxa"/>
            <w:vAlign w:val="top"/>
          </w:tcPr>
          <w:p w14:paraId="0B81B671">
            <w:pPr>
              <w:spacing w:before="202" w:line="220"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法律法规掌握程度</w:t>
            </w:r>
          </w:p>
        </w:tc>
        <w:tc>
          <w:tcPr>
            <w:tcW w:w="872" w:type="dxa"/>
            <w:vAlign w:val="top"/>
          </w:tcPr>
          <w:p w14:paraId="0B2C9132">
            <w:pPr>
              <w:spacing w:before="202"/>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68420E1D">
            <w:pPr>
              <w:pStyle w:val="15"/>
              <w:rPr>
                <w:rFonts w:hint="eastAsia" w:ascii="仿宋_GB2312" w:hAnsi="仿宋_GB2312" w:eastAsia="仿宋_GB2312" w:cs="仿宋_GB2312"/>
              </w:rPr>
            </w:pPr>
          </w:p>
        </w:tc>
        <w:tc>
          <w:tcPr>
            <w:tcW w:w="590" w:type="dxa"/>
            <w:vAlign w:val="top"/>
          </w:tcPr>
          <w:p w14:paraId="126AB08D">
            <w:pPr>
              <w:pStyle w:val="15"/>
              <w:rPr>
                <w:rFonts w:hint="eastAsia" w:ascii="仿宋_GB2312" w:hAnsi="仿宋_GB2312" w:eastAsia="仿宋_GB2312" w:cs="仿宋_GB2312"/>
              </w:rPr>
            </w:pPr>
          </w:p>
        </w:tc>
        <w:tc>
          <w:tcPr>
            <w:tcW w:w="590" w:type="dxa"/>
            <w:vAlign w:val="top"/>
          </w:tcPr>
          <w:p w14:paraId="41DE6FC4">
            <w:pPr>
              <w:pStyle w:val="15"/>
              <w:rPr>
                <w:rFonts w:hint="eastAsia" w:ascii="仿宋_GB2312" w:hAnsi="仿宋_GB2312" w:eastAsia="仿宋_GB2312" w:cs="仿宋_GB2312"/>
              </w:rPr>
            </w:pPr>
          </w:p>
        </w:tc>
        <w:tc>
          <w:tcPr>
            <w:tcW w:w="731" w:type="dxa"/>
            <w:vAlign w:val="top"/>
          </w:tcPr>
          <w:p w14:paraId="6F5F071D">
            <w:pPr>
              <w:pStyle w:val="15"/>
              <w:rPr>
                <w:rFonts w:hint="eastAsia" w:ascii="仿宋_GB2312" w:hAnsi="仿宋_GB2312" w:eastAsia="仿宋_GB2312" w:cs="仿宋_GB2312"/>
              </w:rPr>
            </w:pPr>
          </w:p>
        </w:tc>
        <w:tc>
          <w:tcPr>
            <w:tcW w:w="596" w:type="dxa"/>
            <w:vAlign w:val="top"/>
          </w:tcPr>
          <w:p w14:paraId="6A833E69">
            <w:pPr>
              <w:pStyle w:val="15"/>
              <w:rPr>
                <w:rFonts w:hint="eastAsia" w:ascii="仿宋_GB2312" w:hAnsi="仿宋_GB2312" w:eastAsia="仿宋_GB2312" w:cs="仿宋_GB2312"/>
              </w:rPr>
            </w:pPr>
          </w:p>
        </w:tc>
      </w:tr>
      <w:tr w14:paraId="03F6A9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bottom w:val="nil"/>
            </w:tcBorders>
            <w:vAlign w:val="top"/>
          </w:tcPr>
          <w:p w14:paraId="2EB56068">
            <w:pPr>
              <w:pStyle w:val="15"/>
              <w:rPr>
                <w:rFonts w:hint="eastAsia" w:ascii="仿宋_GB2312" w:hAnsi="仿宋_GB2312" w:eastAsia="仿宋_GB2312" w:cs="仿宋_GB2312"/>
              </w:rPr>
            </w:pPr>
          </w:p>
        </w:tc>
        <w:tc>
          <w:tcPr>
            <w:tcW w:w="1349" w:type="dxa"/>
            <w:vMerge w:val="restart"/>
            <w:tcBorders>
              <w:bottom w:val="nil"/>
            </w:tcBorders>
            <w:vAlign w:val="top"/>
          </w:tcPr>
          <w:p w14:paraId="662EC761">
            <w:pPr>
              <w:pStyle w:val="15"/>
              <w:spacing w:line="268" w:lineRule="auto"/>
              <w:rPr>
                <w:rFonts w:hint="eastAsia" w:ascii="仿宋_GB2312" w:hAnsi="仿宋_GB2312" w:eastAsia="仿宋_GB2312" w:cs="仿宋_GB2312"/>
              </w:rPr>
            </w:pPr>
          </w:p>
          <w:p w14:paraId="14768EEE">
            <w:pPr>
              <w:pStyle w:val="15"/>
              <w:spacing w:line="268" w:lineRule="auto"/>
              <w:rPr>
                <w:rFonts w:hint="eastAsia" w:ascii="仿宋_GB2312" w:hAnsi="仿宋_GB2312" w:eastAsia="仿宋_GB2312" w:cs="仿宋_GB2312"/>
              </w:rPr>
            </w:pPr>
          </w:p>
          <w:p w14:paraId="21306301">
            <w:pPr>
              <w:pStyle w:val="15"/>
              <w:spacing w:line="269" w:lineRule="auto"/>
              <w:rPr>
                <w:rFonts w:hint="eastAsia" w:ascii="仿宋_GB2312" w:hAnsi="仿宋_GB2312" w:eastAsia="仿宋_GB2312" w:cs="仿宋_GB2312"/>
              </w:rPr>
            </w:pPr>
          </w:p>
          <w:p w14:paraId="17D3F79F">
            <w:pPr>
              <w:pStyle w:val="15"/>
              <w:spacing w:line="269" w:lineRule="auto"/>
              <w:rPr>
                <w:rFonts w:hint="eastAsia" w:ascii="仿宋_GB2312" w:hAnsi="仿宋_GB2312" w:eastAsia="仿宋_GB2312" w:cs="仿宋_GB2312"/>
              </w:rPr>
            </w:pPr>
          </w:p>
          <w:p w14:paraId="420F0C7F">
            <w:pPr>
              <w:spacing w:before="72" w:line="220" w:lineRule="auto"/>
              <w:ind w:left="123"/>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审核内容</w:t>
            </w:r>
          </w:p>
        </w:tc>
        <w:tc>
          <w:tcPr>
            <w:tcW w:w="2430" w:type="dxa"/>
            <w:vAlign w:val="top"/>
          </w:tcPr>
          <w:p w14:paraId="72613CE3">
            <w:pPr>
              <w:spacing w:before="201" w:line="222"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合法合规性</w:t>
            </w:r>
          </w:p>
        </w:tc>
        <w:tc>
          <w:tcPr>
            <w:tcW w:w="872" w:type="dxa"/>
            <w:vAlign w:val="top"/>
          </w:tcPr>
          <w:p w14:paraId="35B14008">
            <w:pPr>
              <w:spacing w:before="202"/>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04E91E6F">
            <w:pPr>
              <w:pStyle w:val="15"/>
              <w:rPr>
                <w:rFonts w:hint="eastAsia" w:ascii="仿宋_GB2312" w:hAnsi="仿宋_GB2312" w:eastAsia="仿宋_GB2312" w:cs="仿宋_GB2312"/>
              </w:rPr>
            </w:pPr>
          </w:p>
        </w:tc>
        <w:tc>
          <w:tcPr>
            <w:tcW w:w="590" w:type="dxa"/>
            <w:vAlign w:val="top"/>
          </w:tcPr>
          <w:p w14:paraId="4D6B47A7">
            <w:pPr>
              <w:pStyle w:val="15"/>
              <w:rPr>
                <w:rFonts w:hint="eastAsia" w:ascii="仿宋_GB2312" w:hAnsi="仿宋_GB2312" w:eastAsia="仿宋_GB2312" w:cs="仿宋_GB2312"/>
              </w:rPr>
            </w:pPr>
          </w:p>
        </w:tc>
        <w:tc>
          <w:tcPr>
            <w:tcW w:w="590" w:type="dxa"/>
            <w:vAlign w:val="top"/>
          </w:tcPr>
          <w:p w14:paraId="0FD46AC6">
            <w:pPr>
              <w:pStyle w:val="15"/>
              <w:rPr>
                <w:rFonts w:hint="eastAsia" w:ascii="仿宋_GB2312" w:hAnsi="仿宋_GB2312" w:eastAsia="仿宋_GB2312" w:cs="仿宋_GB2312"/>
              </w:rPr>
            </w:pPr>
          </w:p>
        </w:tc>
        <w:tc>
          <w:tcPr>
            <w:tcW w:w="731" w:type="dxa"/>
            <w:vAlign w:val="top"/>
          </w:tcPr>
          <w:p w14:paraId="747743DA">
            <w:pPr>
              <w:pStyle w:val="15"/>
              <w:rPr>
                <w:rFonts w:hint="eastAsia" w:ascii="仿宋_GB2312" w:hAnsi="仿宋_GB2312" w:eastAsia="仿宋_GB2312" w:cs="仿宋_GB2312"/>
              </w:rPr>
            </w:pPr>
          </w:p>
        </w:tc>
        <w:tc>
          <w:tcPr>
            <w:tcW w:w="596" w:type="dxa"/>
            <w:vAlign w:val="top"/>
          </w:tcPr>
          <w:p w14:paraId="11D67FDD">
            <w:pPr>
              <w:pStyle w:val="15"/>
              <w:rPr>
                <w:rFonts w:hint="eastAsia" w:ascii="仿宋_GB2312" w:hAnsi="仿宋_GB2312" w:eastAsia="仿宋_GB2312" w:cs="仿宋_GB2312"/>
              </w:rPr>
            </w:pPr>
          </w:p>
        </w:tc>
      </w:tr>
      <w:tr w14:paraId="47C12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bottom w:val="nil"/>
            </w:tcBorders>
            <w:vAlign w:val="top"/>
          </w:tcPr>
          <w:p w14:paraId="74ABC258">
            <w:pPr>
              <w:pStyle w:val="15"/>
              <w:rPr>
                <w:rFonts w:hint="eastAsia" w:ascii="仿宋_GB2312" w:hAnsi="仿宋_GB2312" w:eastAsia="仿宋_GB2312" w:cs="仿宋_GB2312"/>
              </w:rPr>
            </w:pPr>
          </w:p>
        </w:tc>
        <w:tc>
          <w:tcPr>
            <w:tcW w:w="1349" w:type="dxa"/>
            <w:vMerge w:val="continue"/>
            <w:tcBorders>
              <w:top w:val="nil"/>
              <w:bottom w:val="nil"/>
            </w:tcBorders>
            <w:vAlign w:val="top"/>
          </w:tcPr>
          <w:p w14:paraId="0FB7B6CE">
            <w:pPr>
              <w:pStyle w:val="15"/>
              <w:rPr>
                <w:rFonts w:hint="eastAsia" w:ascii="仿宋_GB2312" w:hAnsi="仿宋_GB2312" w:eastAsia="仿宋_GB2312" w:cs="仿宋_GB2312"/>
              </w:rPr>
            </w:pPr>
          </w:p>
        </w:tc>
        <w:tc>
          <w:tcPr>
            <w:tcW w:w="2430" w:type="dxa"/>
            <w:vAlign w:val="top"/>
          </w:tcPr>
          <w:p w14:paraId="54C4CCED">
            <w:pPr>
              <w:spacing w:before="201" w:line="220"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完整性</w:t>
            </w:r>
          </w:p>
        </w:tc>
        <w:tc>
          <w:tcPr>
            <w:tcW w:w="872" w:type="dxa"/>
            <w:vAlign w:val="top"/>
          </w:tcPr>
          <w:p w14:paraId="632F1BD2">
            <w:pPr>
              <w:spacing w:before="202"/>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290CED02">
            <w:pPr>
              <w:pStyle w:val="15"/>
              <w:rPr>
                <w:rFonts w:hint="eastAsia" w:ascii="仿宋_GB2312" w:hAnsi="仿宋_GB2312" w:eastAsia="仿宋_GB2312" w:cs="仿宋_GB2312"/>
              </w:rPr>
            </w:pPr>
          </w:p>
        </w:tc>
        <w:tc>
          <w:tcPr>
            <w:tcW w:w="590" w:type="dxa"/>
            <w:vAlign w:val="top"/>
          </w:tcPr>
          <w:p w14:paraId="1D15EC27">
            <w:pPr>
              <w:pStyle w:val="15"/>
              <w:rPr>
                <w:rFonts w:hint="eastAsia" w:ascii="仿宋_GB2312" w:hAnsi="仿宋_GB2312" w:eastAsia="仿宋_GB2312" w:cs="仿宋_GB2312"/>
              </w:rPr>
            </w:pPr>
          </w:p>
        </w:tc>
        <w:tc>
          <w:tcPr>
            <w:tcW w:w="590" w:type="dxa"/>
            <w:vAlign w:val="top"/>
          </w:tcPr>
          <w:p w14:paraId="6D5E1AA8">
            <w:pPr>
              <w:pStyle w:val="15"/>
              <w:rPr>
                <w:rFonts w:hint="eastAsia" w:ascii="仿宋_GB2312" w:hAnsi="仿宋_GB2312" w:eastAsia="仿宋_GB2312" w:cs="仿宋_GB2312"/>
              </w:rPr>
            </w:pPr>
          </w:p>
        </w:tc>
        <w:tc>
          <w:tcPr>
            <w:tcW w:w="731" w:type="dxa"/>
            <w:vAlign w:val="top"/>
          </w:tcPr>
          <w:p w14:paraId="5B9BC85D">
            <w:pPr>
              <w:pStyle w:val="15"/>
              <w:rPr>
                <w:rFonts w:hint="eastAsia" w:ascii="仿宋_GB2312" w:hAnsi="仿宋_GB2312" w:eastAsia="仿宋_GB2312" w:cs="仿宋_GB2312"/>
              </w:rPr>
            </w:pPr>
          </w:p>
        </w:tc>
        <w:tc>
          <w:tcPr>
            <w:tcW w:w="596" w:type="dxa"/>
            <w:vAlign w:val="top"/>
          </w:tcPr>
          <w:p w14:paraId="2AFE262B">
            <w:pPr>
              <w:pStyle w:val="15"/>
              <w:rPr>
                <w:rFonts w:hint="eastAsia" w:ascii="仿宋_GB2312" w:hAnsi="仿宋_GB2312" w:eastAsia="仿宋_GB2312" w:cs="仿宋_GB2312"/>
              </w:rPr>
            </w:pPr>
          </w:p>
        </w:tc>
      </w:tr>
      <w:tr w14:paraId="4E07E0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bottom w:val="nil"/>
            </w:tcBorders>
            <w:vAlign w:val="top"/>
          </w:tcPr>
          <w:p w14:paraId="3B6F6D3A">
            <w:pPr>
              <w:pStyle w:val="15"/>
              <w:rPr>
                <w:rFonts w:hint="eastAsia" w:ascii="仿宋_GB2312" w:hAnsi="仿宋_GB2312" w:eastAsia="仿宋_GB2312" w:cs="仿宋_GB2312"/>
              </w:rPr>
            </w:pPr>
          </w:p>
        </w:tc>
        <w:tc>
          <w:tcPr>
            <w:tcW w:w="1349" w:type="dxa"/>
            <w:vMerge w:val="continue"/>
            <w:tcBorders>
              <w:top w:val="nil"/>
              <w:bottom w:val="nil"/>
            </w:tcBorders>
            <w:vAlign w:val="top"/>
          </w:tcPr>
          <w:p w14:paraId="45159CCF">
            <w:pPr>
              <w:pStyle w:val="15"/>
              <w:rPr>
                <w:rFonts w:hint="eastAsia" w:ascii="仿宋_GB2312" w:hAnsi="仿宋_GB2312" w:eastAsia="仿宋_GB2312" w:cs="仿宋_GB2312"/>
              </w:rPr>
            </w:pPr>
          </w:p>
        </w:tc>
        <w:tc>
          <w:tcPr>
            <w:tcW w:w="2430" w:type="dxa"/>
            <w:vAlign w:val="top"/>
          </w:tcPr>
          <w:p w14:paraId="327B549D">
            <w:pPr>
              <w:spacing w:before="201" w:line="220"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可操作性</w:t>
            </w:r>
          </w:p>
        </w:tc>
        <w:tc>
          <w:tcPr>
            <w:tcW w:w="872" w:type="dxa"/>
            <w:vAlign w:val="top"/>
          </w:tcPr>
          <w:p w14:paraId="463819C4">
            <w:pPr>
              <w:spacing w:before="201"/>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4ECFD301">
            <w:pPr>
              <w:pStyle w:val="15"/>
              <w:rPr>
                <w:rFonts w:hint="eastAsia" w:ascii="仿宋_GB2312" w:hAnsi="仿宋_GB2312" w:eastAsia="仿宋_GB2312" w:cs="仿宋_GB2312"/>
              </w:rPr>
            </w:pPr>
          </w:p>
        </w:tc>
        <w:tc>
          <w:tcPr>
            <w:tcW w:w="590" w:type="dxa"/>
            <w:vAlign w:val="top"/>
          </w:tcPr>
          <w:p w14:paraId="5378281C">
            <w:pPr>
              <w:pStyle w:val="15"/>
              <w:rPr>
                <w:rFonts w:hint="eastAsia" w:ascii="仿宋_GB2312" w:hAnsi="仿宋_GB2312" w:eastAsia="仿宋_GB2312" w:cs="仿宋_GB2312"/>
              </w:rPr>
            </w:pPr>
          </w:p>
        </w:tc>
        <w:tc>
          <w:tcPr>
            <w:tcW w:w="590" w:type="dxa"/>
            <w:vAlign w:val="top"/>
          </w:tcPr>
          <w:p w14:paraId="53385FD5">
            <w:pPr>
              <w:pStyle w:val="15"/>
              <w:rPr>
                <w:rFonts w:hint="eastAsia" w:ascii="仿宋_GB2312" w:hAnsi="仿宋_GB2312" w:eastAsia="仿宋_GB2312" w:cs="仿宋_GB2312"/>
              </w:rPr>
            </w:pPr>
          </w:p>
        </w:tc>
        <w:tc>
          <w:tcPr>
            <w:tcW w:w="731" w:type="dxa"/>
            <w:vAlign w:val="top"/>
          </w:tcPr>
          <w:p w14:paraId="18654639">
            <w:pPr>
              <w:pStyle w:val="15"/>
              <w:rPr>
                <w:rFonts w:hint="eastAsia" w:ascii="仿宋_GB2312" w:hAnsi="仿宋_GB2312" w:eastAsia="仿宋_GB2312" w:cs="仿宋_GB2312"/>
              </w:rPr>
            </w:pPr>
          </w:p>
        </w:tc>
        <w:tc>
          <w:tcPr>
            <w:tcW w:w="596" w:type="dxa"/>
            <w:vAlign w:val="top"/>
          </w:tcPr>
          <w:p w14:paraId="738BAE3A">
            <w:pPr>
              <w:pStyle w:val="15"/>
              <w:rPr>
                <w:rFonts w:hint="eastAsia" w:ascii="仿宋_GB2312" w:hAnsi="仿宋_GB2312" w:eastAsia="仿宋_GB2312" w:cs="仿宋_GB2312"/>
              </w:rPr>
            </w:pPr>
          </w:p>
        </w:tc>
      </w:tr>
      <w:tr w14:paraId="2824A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bottom w:val="nil"/>
            </w:tcBorders>
            <w:vAlign w:val="top"/>
          </w:tcPr>
          <w:p w14:paraId="0F42CAD8">
            <w:pPr>
              <w:pStyle w:val="15"/>
              <w:rPr>
                <w:rFonts w:hint="eastAsia" w:ascii="仿宋_GB2312" w:hAnsi="仿宋_GB2312" w:eastAsia="仿宋_GB2312" w:cs="仿宋_GB2312"/>
              </w:rPr>
            </w:pPr>
          </w:p>
        </w:tc>
        <w:tc>
          <w:tcPr>
            <w:tcW w:w="1349" w:type="dxa"/>
            <w:vMerge w:val="continue"/>
            <w:tcBorders>
              <w:top w:val="nil"/>
            </w:tcBorders>
            <w:vAlign w:val="top"/>
          </w:tcPr>
          <w:p w14:paraId="60956658">
            <w:pPr>
              <w:pStyle w:val="15"/>
              <w:rPr>
                <w:rFonts w:hint="eastAsia" w:ascii="仿宋_GB2312" w:hAnsi="仿宋_GB2312" w:eastAsia="仿宋_GB2312" w:cs="仿宋_GB2312"/>
              </w:rPr>
            </w:pPr>
          </w:p>
        </w:tc>
        <w:tc>
          <w:tcPr>
            <w:tcW w:w="2430" w:type="dxa"/>
            <w:vAlign w:val="top"/>
          </w:tcPr>
          <w:p w14:paraId="5DABA483">
            <w:pPr>
              <w:spacing w:before="200" w:line="222" w:lineRule="auto"/>
              <w:ind w:left="120"/>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公平性</w:t>
            </w:r>
          </w:p>
        </w:tc>
        <w:tc>
          <w:tcPr>
            <w:tcW w:w="872" w:type="dxa"/>
            <w:vAlign w:val="top"/>
          </w:tcPr>
          <w:p w14:paraId="5F554F70">
            <w:pPr>
              <w:spacing w:before="201"/>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65E29565">
            <w:pPr>
              <w:pStyle w:val="15"/>
              <w:rPr>
                <w:rFonts w:hint="eastAsia" w:ascii="仿宋_GB2312" w:hAnsi="仿宋_GB2312" w:eastAsia="仿宋_GB2312" w:cs="仿宋_GB2312"/>
              </w:rPr>
            </w:pPr>
          </w:p>
        </w:tc>
        <w:tc>
          <w:tcPr>
            <w:tcW w:w="590" w:type="dxa"/>
            <w:vAlign w:val="top"/>
          </w:tcPr>
          <w:p w14:paraId="0065FD3A">
            <w:pPr>
              <w:pStyle w:val="15"/>
              <w:rPr>
                <w:rFonts w:hint="eastAsia" w:ascii="仿宋_GB2312" w:hAnsi="仿宋_GB2312" w:eastAsia="仿宋_GB2312" w:cs="仿宋_GB2312"/>
              </w:rPr>
            </w:pPr>
          </w:p>
        </w:tc>
        <w:tc>
          <w:tcPr>
            <w:tcW w:w="590" w:type="dxa"/>
            <w:vAlign w:val="top"/>
          </w:tcPr>
          <w:p w14:paraId="54B2533C">
            <w:pPr>
              <w:pStyle w:val="15"/>
              <w:rPr>
                <w:rFonts w:hint="eastAsia" w:ascii="仿宋_GB2312" w:hAnsi="仿宋_GB2312" w:eastAsia="仿宋_GB2312" w:cs="仿宋_GB2312"/>
              </w:rPr>
            </w:pPr>
          </w:p>
        </w:tc>
        <w:tc>
          <w:tcPr>
            <w:tcW w:w="731" w:type="dxa"/>
            <w:vAlign w:val="top"/>
          </w:tcPr>
          <w:p w14:paraId="367BB610">
            <w:pPr>
              <w:pStyle w:val="15"/>
              <w:rPr>
                <w:rFonts w:hint="eastAsia" w:ascii="仿宋_GB2312" w:hAnsi="仿宋_GB2312" w:eastAsia="仿宋_GB2312" w:cs="仿宋_GB2312"/>
              </w:rPr>
            </w:pPr>
          </w:p>
        </w:tc>
        <w:tc>
          <w:tcPr>
            <w:tcW w:w="596" w:type="dxa"/>
            <w:vAlign w:val="top"/>
          </w:tcPr>
          <w:p w14:paraId="4EC8D375">
            <w:pPr>
              <w:pStyle w:val="15"/>
              <w:rPr>
                <w:rFonts w:hint="eastAsia" w:ascii="仿宋_GB2312" w:hAnsi="仿宋_GB2312" w:eastAsia="仿宋_GB2312" w:cs="仿宋_GB2312"/>
              </w:rPr>
            </w:pPr>
          </w:p>
        </w:tc>
      </w:tr>
      <w:tr w14:paraId="044EC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bottom w:val="nil"/>
            </w:tcBorders>
            <w:vAlign w:val="top"/>
          </w:tcPr>
          <w:p w14:paraId="01449F88">
            <w:pPr>
              <w:pStyle w:val="15"/>
              <w:rPr>
                <w:rFonts w:hint="eastAsia" w:ascii="仿宋_GB2312" w:hAnsi="仿宋_GB2312" w:eastAsia="仿宋_GB2312" w:cs="仿宋_GB2312"/>
              </w:rPr>
            </w:pPr>
          </w:p>
        </w:tc>
        <w:tc>
          <w:tcPr>
            <w:tcW w:w="1349" w:type="dxa"/>
            <w:vMerge w:val="restart"/>
            <w:tcBorders>
              <w:bottom w:val="nil"/>
            </w:tcBorders>
            <w:vAlign w:val="top"/>
          </w:tcPr>
          <w:p w14:paraId="7A082791">
            <w:pPr>
              <w:pStyle w:val="15"/>
              <w:spacing w:line="277" w:lineRule="auto"/>
              <w:rPr>
                <w:rFonts w:hint="eastAsia" w:ascii="仿宋_GB2312" w:hAnsi="仿宋_GB2312" w:eastAsia="仿宋_GB2312" w:cs="仿宋_GB2312"/>
              </w:rPr>
            </w:pPr>
          </w:p>
          <w:p w14:paraId="712AC954">
            <w:pPr>
              <w:pStyle w:val="15"/>
              <w:spacing w:line="278" w:lineRule="auto"/>
              <w:rPr>
                <w:rFonts w:hint="eastAsia" w:ascii="仿宋_GB2312" w:hAnsi="仿宋_GB2312" w:eastAsia="仿宋_GB2312" w:cs="仿宋_GB2312"/>
              </w:rPr>
            </w:pPr>
          </w:p>
          <w:p w14:paraId="784463BA">
            <w:pPr>
              <w:pStyle w:val="15"/>
              <w:spacing w:line="278" w:lineRule="auto"/>
              <w:rPr>
                <w:rFonts w:hint="eastAsia" w:ascii="仿宋_GB2312" w:hAnsi="仿宋_GB2312" w:eastAsia="仿宋_GB2312" w:cs="仿宋_GB2312"/>
              </w:rPr>
            </w:pPr>
          </w:p>
          <w:p w14:paraId="5A5DA990">
            <w:pPr>
              <w:pStyle w:val="15"/>
              <w:spacing w:line="278" w:lineRule="auto"/>
              <w:rPr>
                <w:rFonts w:hint="eastAsia" w:ascii="仿宋_GB2312" w:hAnsi="仿宋_GB2312" w:eastAsia="仿宋_GB2312" w:cs="仿宋_GB2312"/>
              </w:rPr>
            </w:pPr>
          </w:p>
          <w:p w14:paraId="7E1E75F5">
            <w:pPr>
              <w:pStyle w:val="15"/>
              <w:spacing w:line="278" w:lineRule="auto"/>
              <w:rPr>
                <w:rFonts w:hint="eastAsia" w:ascii="仿宋_GB2312" w:hAnsi="仿宋_GB2312" w:eastAsia="仿宋_GB2312" w:cs="仿宋_GB2312"/>
              </w:rPr>
            </w:pPr>
          </w:p>
          <w:p w14:paraId="6E5BFC35">
            <w:pPr>
              <w:spacing w:before="72" w:line="221"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关注风险点</w:t>
            </w:r>
          </w:p>
        </w:tc>
        <w:tc>
          <w:tcPr>
            <w:tcW w:w="2430" w:type="dxa"/>
            <w:vAlign w:val="top"/>
          </w:tcPr>
          <w:p w14:paraId="55AB087C">
            <w:pPr>
              <w:spacing w:before="202" w:line="221"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主体风险</w:t>
            </w:r>
          </w:p>
        </w:tc>
        <w:tc>
          <w:tcPr>
            <w:tcW w:w="872" w:type="dxa"/>
            <w:vAlign w:val="top"/>
          </w:tcPr>
          <w:p w14:paraId="5DC5F723">
            <w:pPr>
              <w:spacing w:before="203"/>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11753AB8">
            <w:pPr>
              <w:pStyle w:val="15"/>
              <w:rPr>
                <w:rFonts w:hint="eastAsia" w:ascii="仿宋_GB2312" w:hAnsi="仿宋_GB2312" w:eastAsia="仿宋_GB2312" w:cs="仿宋_GB2312"/>
              </w:rPr>
            </w:pPr>
          </w:p>
        </w:tc>
        <w:tc>
          <w:tcPr>
            <w:tcW w:w="590" w:type="dxa"/>
            <w:vAlign w:val="top"/>
          </w:tcPr>
          <w:p w14:paraId="601094CC">
            <w:pPr>
              <w:pStyle w:val="15"/>
              <w:rPr>
                <w:rFonts w:hint="eastAsia" w:ascii="仿宋_GB2312" w:hAnsi="仿宋_GB2312" w:eastAsia="仿宋_GB2312" w:cs="仿宋_GB2312"/>
              </w:rPr>
            </w:pPr>
          </w:p>
        </w:tc>
        <w:tc>
          <w:tcPr>
            <w:tcW w:w="590" w:type="dxa"/>
            <w:vAlign w:val="top"/>
          </w:tcPr>
          <w:p w14:paraId="0161461E">
            <w:pPr>
              <w:pStyle w:val="15"/>
              <w:rPr>
                <w:rFonts w:hint="eastAsia" w:ascii="仿宋_GB2312" w:hAnsi="仿宋_GB2312" w:eastAsia="仿宋_GB2312" w:cs="仿宋_GB2312"/>
              </w:rPr>
            </w:pPr>
          </w:p>
        </w:tc>
        <w:tc>
          <w:tcPr>
            <w:tcW w:w="731" w:type="dxa"/>
            <w:vAlign w:val="top"/>
          </w:tcPr>
          <w:p w14:paraId="30767627">
            <w:pPr>
              <w:pStyle w:val="15"/>
              <w:rPr>
                <w:rFonts w:hint="eastAsia" w:ascii="仿宋_GB2312" w:hAnsi="仿宋_GB2312" w:eastAsia="仿宋_GB2312" w:cs="仿宋_GB2312"/>
              </w:rPr>
            </w:pPr>
          </w:p>
        </w:tc>
        <w:tc>
          <w:tcPr>
            <w:tcW w:w="596" w:type="dxa"/>
            <w:vAlign w:val="top"/>
          </w:tcPr>
          <w:p w14:paraId="25040521">
            <w:pPr>
              <w:pStyle w:val="15"/>
              <w:rPr>
                <w:rFonts w:hint="eastAsia" w:ascii="仿宋_GB2312" w:hAnsi="仿宋_GB2312" w:eastAsia="仿宋_GB2312" w:cs="仿宋_GB2312"/>
              </w:rPr>
            </w:pPr>
          </w:p>
        </w:tc>
      </w:tr>
      <w:tr w14:paraId="3F0DE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32" w:type="dxa"/>
            <w:vMerge w:val="continue"/>
            <w:tcBorders>
              <w:top w:val="nil"/>
              <w:bottom w:val="nil"/>
            </w:tcBorders>
            <w:vAlign w:val="top"/>
          </w:tcPr>
          <w:p w14:paraId="70BC2978">
            <w:pPr>
              <w:pStyle w:val="15"/>
              <w:rPr>
                <w:rFonts w:hint="eastAsia" w:ascii="仿宋_GB2312" w:hAnsi="仿宋_GB2312" w:eastAsia="仿宋_GB2312" w:cs="仿宋_GB2312"/>
              </w:rPr>
            </w:pPr>
          </w:p>
        </w:tc>
        <w:tc>
          <w:tcPr>
            <w:tcW w:w="1349" w:type="dxa"/>
            <w:vMerge w:val="continue"/>
            <w:tcBorders>
              <w:top w:val="nil"/>
              <w:bottom w:val="nil"/>
            </w:tcBorders>
            <w:vAlign w:val="top"/>
          </w:tcPr>
          <w:p w14:paraId="763BFBF3">
            <w:pPr>
              <w:pStyle w:val="15"/>
              <w:rPr>
                <w:rFonts w:hint="eastAsia" w:ascii="仿宋_GB2312" w:hAnsi="仿宋_GB2312" w:eastAsia="仿宋_GB2312" w:cs="仿宋_GB2312"/>
              </w:rPr>
            </w:pPr>
          </w:p>
        </w:tc>
        <w:tc>
          <w:tcPr>
            <w:tcW w:w="2430" w:type="dxa"/>
            <w:vAlign w:val="top"/>
          </w:tcPr>
          <w:p w14:paraId="0CC79E55">
            <w:pPr>
              <w:spacing w:before="202" w:line="220"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条款风险</w:t>
            </w:r>
          </w:p>
        </w:tc>
        <w:tc>
          <w:tcPr>
            <w:tcW w:w="872" w:type="dxa"/>
            <w:vAlign w:val="top"/>
          </w:tcPr>
          <w:p w14:paraId="2475E612">
            <w:pPr>
              <w:spacing w:before="202"/>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655DDAED">
            <w:pPr>
              <w:pStyle w:val="15"/>
              <w:rPr>
                <w:rFonts w:hint="eastAsia" w:ascii="仿宋_GB2312" w:hAnsi="仿宋_GB2312" w:eastAsia="仿宋_GB2312" w:cs="仿宋_GB2312"/>
              </w:rPr>
            </w:pPr>
          </w:p>
        </w:tc>
        <w:tc>
          <w:tcPr>
            <w:tcW w:w="590" w:type="dxa"/>
            <w:vAlign w:val="top"/>
          </w:tcPr>
          <w:p w14:paraId="1EB7EBD0">
            <w:pPr>
              <w:pStyle w:val="15"/>
              <w:rPr>
                <w:rFonts w:hint="eastAsia" w:ascii="仿宋_GB2312" w:hAnsi="仿宋_GB2312" w:eastAsia="仿宋_GB2312" w:cs="仿宋_GB2312"/>
              </w:rPr>
            </w:pPr>
          </w:p>
        </w:tc>
        <w:tc>
          <w:tcPr>
            <w:tcW w:w="590" w:type="dxa"/>
            <w:vAlign w:val="top"/>
          </w:tcPr>
          <w:p w14:paraId="7ED10BEA">
            <w:pPr>
              <w:pStyle w:val="15"/>
              <w:rPr>
                <w:rFonts w:hint="eastAsia" w:ascii="仿宋_GB2312" w:hAnsi="仿宋_GB2312" w:eastAsia="仿宋_GB2312" w:cs="仿宋_GB2312"/>
              </w:rPr>
            </w:pPr>
          </w:p>
        </w:tc>
        <w:tc>
          <w:tcPr>
            <w:tcW w:w="731" w:type="dxa"/>
            <w:vAlign w:val="top"/>
          </w:tcPr>
          <w:p w14:paraId="5EA108E4">
            <w:pPr>
              <w:pStyle w:val="15"/>
              <w:rPr>
                <w:rFonts w:hint="eastAsia" w:ascii="仿宋_GB2312" w:hAnsi="仿宋_GB2312" w:eastAsia="仿宋_GB2312" w:cs="仿宋_GB2312"/>
              </w:rPr>
            </w:pPr>
          </w:p>
        </w:tc>
        <w:tc>
          <w:tcPr>
            <w:tcW w:w="596" w:type="dxa"/>
            <w:vAlign w:val="top"/>
          </w:tcPr>
          <w:p w14:paraId="458514DE">
            <w:pPr>
              <w:pStyle w:val="15"/>
              <w:rPr>
                <w:rFonts w:hint="eastAsia" w:ascii="仿宋_GB2312" w:hAnsi="仿宋_GB2312" w:eastAsia="仿宋_GB2312" w:cs="仿宋_GB2312"/>
              </w:rPr>
            </w:pPr>
          </w:p>
        </w:tc>
      </w:tr>
      <w:tr w14:paraId="67DBA2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bottom w:val="nil"/>
            </w:tcBorders>
            <w:vAlign w:val="top"/>
          </w:tcPr>
          <w:p w14:paraId="35874625">
            <w:pPr>
              <w:pStyle w:val="15"/>
              <w:rPr>
                <w:rFonts w:hint="eastAsia" w:ascii="仿宋_GB2312" w:hAnsi="仿宋_GB2312" w:eastAsia="仿宋_GB2312" w:cs="仿宋_GB2312"/>
              </w:rPr>
            </w:pPr>
          </w:p>
        </w:tc>
        <w:tc>
          <w:tcPr>
            <w:tcW w:w="1349" w:type="dxa"/>
            <w:vMerge w:val="continue"/>
            <w:tcBorders>
              <w:top w:val="nil"/>
              <w:bottom w:val="nil"/>
            </w:tcBorders>
            <w:vAlign w:val="top"/>
          </w:tcPr>
          <w:p w14:paraId="2CACA30B">
            <w:pPr>
              <w:pStyle w:val="15"/>
              <w:rPr>
                <w:rFonts w:hint="eastAsia" w:ascii="仿宋_GB2312" w:hAnsi="仿宋_GB2312" w:eastAsia="仿宋_GB2312" w:cs="仿宋_GB2312"/>
              </w:rPr>
            </w:pPr>
          </w:p>
        </w:tc>
        <w:tc>
          <w:tcPr>
            <w:tcW w:w="2430" w:type="dxa"/>
            <w:vAlign w:val="top"/>
          </w:tcPr>
          <w:p w14:paraId="497C03C7">
            <w:pPr>
              <w:spacing w:before="202" w:line="221" w:lineRule="auto"/>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履行风险</w:t>
            </w:r>
          </w:p>
        </w:tc>
        <w:tc>
          <w:tcPr>
            <w:tcW w:w="872" w:type="dxa"/>
            <w:vAlign w:val="top"/>
          </w:tcPr>
          <w:p w14:paraId="5AC42668">
            <w:pPr>
              <w:spacing w:before="203"/>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01D02062">
            <w:pPr>
              <w:pStyle w:val="15"/>
              <w:rPr>
                <w:rFonts w:hint="eastAsia" w:ascii="仿宋_GB2312" w:hAnsi="仿宋_GB2312" w:eastAsia="仿宋_GB2312" w:cs="仿宋_GB2312"/>
              </w:rPr>
            </w:pPr>
          </w:p>
        </w:tc>
        <w:tc>
          <w:tcPr>
            <w:tcW w:w="590" w:type="dxa"/>
            <w:vAlign w:val="top"/>
          </w:tcPr>
          <w:p w14:paraId="0E90DBE4">
            <w:pPr>
              <w:pStyle w:val="15"/>
              <w:rPr>
                <w:rFonts w:hint="eastAsia" w:ascii="仿宋_GB2312" w:hAnsi="仿宋_GB2312" w:eastAsia="仿宋_GB2312" w:cs="仿宋_GB2312"/>
              </w:rPr>
            </w:pPr>
          </w:p>
        </w:tc>
        <w:tc>
          <w:tcPr>
            <w:tcW w:w="590" w:type="dxa"/>
            <w:vAlign w:val="top"/>
          </w:tcPr>
          <w:p w14:paraId="4396C682">
            <w:pPr>
              <w:pStyle w:val="15"/>
              <w:rPr>
                <w:rFonts w:hint="eastAsia" w:ascii="仿宋_GB2312" w:hAnsi="仿宋_GB2312" w:eastAsia="仿宋_GB2312" w:cs="仿宋_GB2312"/>
              </w:rPr>
            </w:pPr>
          </w:p>
        </w:tc>
        <w:tc>
          <w:tcPr>
            <w:tcW w:w="731" w:type="dxa"/>
            <w:vAlign w:val="top"/>
          </w:tcPr>
          <w:p w14:paraId="659C68CD">
            <w:pPr>
              <w:pStyle w:val="15"/>
              <w:rPr>
                <w:rFonts w:hint="eastAsia" w:ascii="仿宋_GB2312" w:hAnsi="仿宋_GB2312" w:eastAsia="仿宋_GB2312" w:cs="仿宋_GB2312"/>
              </w:rPr>
            </w:pPr>
          </w:p>
        </w:tc>
        <w:tc>
          <w:tcPr>
            <w:tcW w:w="596" w:type="dxa"/>
            <w:vAlign w:val="top"/>
          </w:tcPr>
          <w:p w14:paraId="514DA82E">
            <w:pPr>
              <w:pStyle w:val="15"/>
              <w:rPr>
                <w:rFonts w:hint="eastAsia" w:ascii="仿宋_GB2312" w:hAnsi="仿宋_GB2312" w:eastAsia="仿宋_GB2312" w:cs="仿宋_GB2312"/>
              </w:rPr>
            </w:pPr>
          </w:p>
        </w:tc>
      </w:tr>
      <w:tr w14:paraId="18720D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bottom w:val="nil"/>
            </w:tcBorders>
            <w:vAlign w:val="top"/>
          </w:tcPr>
          <w:p w14:paraId="5869A9A4">
            <w:pPr>
              <w:pStyle w:val="15"/>
              <w:rPr>
                <w:rFonts w:hint="eastAsia" w:ascii="仿宋_GB2312" w:hAnsi="仿宋_GB2312" w:eastAsia="仿宋_GB2312" w:cs="仿宋_GB2312"/>
              </w:rPr>
            </w:pPr>
          </w:p>
        </w:tc>
        <w:tc>
          <w:tcPr>
            <w:tcW w:w="1349" w:type="dxa"/>
            <w:vMerge w:val="continue"/>
            <w:tcBorders>
              <w:top w:val="nil"/>
              <w:bottom w:val="nil"/>
            </w:tcBorders>
            <w:vAlign w:val="top"/>
          </w:tcPr>
          <w:p w14:paraId="6C88FE20">
            <w:pPr>
              <w:pStyle w:val="15"/>
              <w:rPr>
                <w:rFonts w:hint="eastAsia" w:ascii="仿宋_GB2312" w:hAnsi="仿宋_GB2312" w:eastAsia="仿宋_GB2312" w:cs="仿宋_GB2312"/>
              </w:rPr>
            </w:pPr>
          </w:p>
        </w:tc>
        <w:tc>
          <w:tcPr>
            <w:tcW w:w="2430" w:type="dxa"/>
            <w:vAlign w:val="top"/>
          </w:tcPr>
          <w:p w14:paraId="3EDC8B60">
            <w:pPr>
              <w:spacing w:before="202" w:line="220"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法律风险</w:t>
            </w:r>
          </w:p>
        </w:tc>
        <w:tc>
          <w:tcPr>
            <w:tcW w:w="872" w:type="dxa"/>
            <w:vAlign w:val="top"/>
          </w:tcPr>
          <w:p w14:paraId="7AB96754">
            <w:pPr>
              <w:spacing w:before="203"/>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64C634DB">
            <w:pPr>
              <w:pStyle w:val="15"/>
              <w:rPr>
                <w:rFonts w:hint="eastAsia" w:ascii="仿宋_GB2312" w:hAnsi="仿宋_GB2312" w:eastAsia="仿宋_GB2312" w:cs="仿宋_GB2312"/>
              </w:rPr>
            </w:pPr>
          </w:p>
        </w:tc>
        <w:tc>
          <w:tcPr>
            <w:tcW w:w="590" w:type="dxa"/>
            <w:vAlign w:val="top"/>
          </w:tcPr>
          <w:p w14:paraId="2CA91C49">
            <w:pPr>
              <w:pStyle w:val="15"/>
              <w:rPr>
                <w:rFonts w:hint="eastAsia" w:ascii="仿宋_GB2312" w:hAnsi="仿宋_GB2312" w:eastAsia="仿宋_GB2312" w:cs="仿宋_GB2312"/>
              </w:rPr>
            </w:pPr>
          </w:p>
        </w:tc>
        <w:tc>
          <w:tcPr>
            <w:tcW w:w="590" w:type="dxa"/>
            <w:vAlign w:val="top"/>
          </w:tcPr>
          <w:p w14:paraId="11577B0E">
            <w:pPr>
              <w:pStyle w:val="15"/>
              <w:rPr>
                <w:rFonts w:hint="eastAsia" w:ascii="仿宋_GB2312" w:hAnsi="仿宋_GB2312" w:eastAsia="仿宋_GB2312" w:cs="仿宋_GB2312"/>
              </w:rPr>
            </w:pPr>
          </w:p>
        </w:tc>
        <w:tc>
          <w:tcPr>
            <w:tcW w:w="731" w:type="dxa"/>
            <w:vAlign w:val="top"/>
          </w:tcPr>
          <w:p w14:paraId="65DBDB35">
            <w:pPr>
              <w:pStyle w:val="15"/>
              <w:rPr>
                <w:rFonts w:hint="eastAsia" w:ascii="仿宋_GB2312" w:hAnsi="仿宋_GB2312" w:eastAsia="仿宋_GB2312" w:cs="仿宋_GB2312"/>
              </w:rPr>
            </w:pPr>
          </w:p>
        </w:tc>
        <w:tc>
          <w:tcPr>
            <w:tcW w:w="596" w:type="dxa"/>
            <w:vAlign w:val="top"/>
          </w:tcPr>
          <w:p w14:paraId="6F172C2D">
            <w:pPr>
              <w:pStyle w:val="15"/>
              <w:rPr>
                <w:rFonts w:hint="eastAsia" w:ascii="仿宋_GB2312" w:hAnsi="仿宋_GB2312" w:eastAsia="仿宋_GB2312" w:cs="仿宋_GB2312"/>
              </w:rPr>
            </w:pPr>
          </w:p>
        </w:tc>
      </w:tr>
      <w:tr w14:paraId="3569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32" w:type="dxa"/>
            <w:vMerge w:val="continue"/>
            <w:tcBorders>
              <w:top w:val="nil"/>
              <w:bottom w:val="single" w:color="auto" w:sz="4" w:space="0"/>
            </w:tcBorders>
            <w:vAlign w:val="top"/>
          </w:tcPr>
          <w:p w14:paraId="386A16B1">
            <w:pPr>
              <w:pStyle w:val="15"/>
              <w:rPr>
                <w:rFonts w:hint="eastAsia" w:ascii="仿宋_GB2312" w:hAnsi="仿宋_GB2312" w:eastAsia="仿宋_GB2312" w:cs="仿宋_GB2312"/>
              </w:rPr>
            </w:pPr>
          </w:p>
        </w:tc>
        <w:tc>
          <w:tcPr>
            <w:tcW w:w="1349" w:type="dxa"/>
            <w:vMerge w:val="continue"/>
            <w:tcBorders>
              <w:top w:val="nil"/>
              <w:bottom w:val="single" w:color="auto" w:sz="4" w:space="0"/>
            </w:tcBorders>
            <w:vAlign w:val="top"/>
          </w:tcPr>
          <w:p w14:paraId="1253B215">
            <w:pPr>
              <w:pStyle w:val="15"/>
              <w:rPr>
                <w:rFonts w:hint="eastAsia" w:ascii="仿宋_GB2312" w:hAnsi="仿宋_GB2312" w:eastAsia="仿宋_GB2312" w:cs="仿宋_GB2312"/>
              </w:rPr>
            </w:pPr>
          </w:p>
        </w:tc>
        <w:tc>
          <w:tcPr>
            <w:tcW w:w="2430" w:type="dxa"/>
            <w:tcBorders>
              <w:bottom w:val="single" w:color="auto" w:sz="4" w:space="0"/>
            </w:tcBorders>
            <w:vAlign w:val="top"/>
          </w:tcPr>
          <w:p w14:paraId="1B2DC473">
            <w:pPr>
              <w:spacing w:before="202" w:line="221" w:lineRule="auto"/>
              <w:ind w:left="118"/>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商业风险</w:t>
            </w:r>
          </w:p>
        </w:tc>
        <w:tc>
          <w:tcPr>
            <w:tcW w:w="872" w:type="dxa"/>
            <w:tcBorders>
              <w:bottom w:val="single" w:color="auto" w:sz="4" w:space="0"/>
            </w:tcBorders>
            <w:vAlign w:val="top"/>
          </w:tcPr>
          <w:p w14:paraId="6C53CB61">
            <w:pPr>
              <w:spacing w:before="202"/>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tcBorders>
              <w:bottom w:val="single" w:color="auto" w:sz="4" w:space="0"/>
            </w:tcBorders>
            <w:vAlign w:val="top"/>
          </w:tcPr>
          <w:p w14:paraId="3ED038D3">
            <w:pPr>
              <w:pStyle w:val="15"/>
              <w:rPr>
                <w:rFonts w:hint="eastAsia" w:ascii="仿宋_GB2312" w:hAnsi="仿宋_GB2312" w:eastAsia="仿宋_GB2312" w:cs="仿宋_GB2312"/>
              </w:rPr>
            </w:pPr>
          </w:p>
        </w:tc>
        <w:tc>
          <w:tcPr>
            <w:tcW w:w="590" w:type="dxa"/>
            <w:tcBorders>
              <w:bottom w:val="single" w:color="auto" w:sz="4" w:space="0"/>
            </w:tcBorders>
            <w:vAlign w:val="top"/>
          </w:tcPr>
          <w:p w14:paraId="4F7657A5">
            <w:pPr>
              <w:pStyle w:val="15"/>
              <w:rPr>
                <w:rFonts w:hint="eastAsia" w:ascii="仿宋_GB2312" w:hAnsi="仿宋_GB2312" w:eastAsia="仿宋_GB2312" w:cs="仿宋_GB2312"/>
              </w:rPr>
            </w:pPr>
          </w:p>
        </w:tc>
        <w:tc>
          <w:tcPr>
            <w:tcW w:w="590" w:type="dxa"/>
            <w:tcBorders>
              <w:bottom w:val="single" w:color="auto" w:sz="4" w:space="0"/>
            </w:tcBorders>
            <w:vAlign w:val="top"/>
          </w:tcPr>
          <w:p w14:paraId="08CCFC91">
            <w:pPr>
              <w:pStyle w:val="15"/>
              <w:rPr>
                <w:rFonts w:hint="eastAsia" w:ascii="仿宋_GB2312" w:hAnsi="仿宋_GB2312" w:eastAsia="仿宋_GB2312" w:cs="仿宋_GB2312"/>
              </w:rPr>
            </w:pPr>
          </w:p>
        </w:tc>
        <w:tc>
          <w:tcPr>
            <w:tcW w:w="731" w:type="dxa"/>
            <w:tcBorders>
              <w:bottom w:val="single" w:color="auto" w:sz="4" w:space="0"/>
            </w:tcBorders>
            <w:vAlign w:val="top"/>
          </w:tcPr>
          <w:p w14:paraId="6884C55F">
            <w:pPr>
              <w:pStyle w:val="15"/>
              <w:rPr>
                <w:rFonts w:hint="eastAsia" w:ascii="仿宋_GB2312" w:hAnsi="仿宋_GB2312" w:eastAsia="仿宋_GB2312" w:cs="仿宋_GB2312"/>
              </w:rPr>
            </w:pPr>
          </w:p>
        </w:tc>
        <w:tc>
          <w:tcPr>
            <w:tcW w:w="596" w:type="dxa"/>
            <w:tcBorders>
              <w:bottom w:val="single" w:color="auto" w:sz="4" w:space="0"/>
            </w:tcBorders>
            <w:vAlign w:val="top"/>
          </w:tcPr>
          <w:p w14:paraId="37B475A4">
            <w:pPr>
              <w:pStyle w:val="15"/>
              <w:rPr>
                <w:rFonts w:hint="eastAsia" w:ascii="仿宋_GB2312" w:hAnsi="仿宋_GB2312" w:eastAsia="仿宋_GB2312" w:cs="仿宋_GB2312"/>
              </w:rPr>
            </w:pPr>
          </w:p>
        </w:tc>
      </w:tr>
      <w:tr w14:paraId="50B6EA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restart"/>
            <w:tcBorders>
              <w:top w:val="single" w:color="auto" w:sz="4" w:space="0"/>
              <w:left w:val="single" w:color="auto" w:sz="4" w:space="0"/>
              <w:bottom w:val="nil"/>
            </w:tcBorders>
            <w:vAlign w:val="top"/>
          </w:tcPr>
          <w:p w14:paraId="5C41B917">
            <w:pPr>
              <w:pStyle w:val="15"/>
              <w:spacing w:line="278" w:lineRule="auto"/>
              <w:rPr>
                <w:rFonts w:hint="eastAsia" w:ascii="仿宋_GB2312" w:hAnsi="仿宋_GB2312" w:eastAsia="仿宋_GB2312" w:cs="仿宋_GB2312"/>
              </w:rPr>
            </w:pPr>
          </w:p>
          <w:p w14:paraId="11B9527F">
            <w:pPr>
              <w:pStyle w:val="15"/>
              <w:spacing w:line="278" w:lineRule="auto"/>
              <w:rPr>
                <w:rFonts w:hint="eastAsia" w:ascii="仿宋_GB2312" w:hAnsi="仿宋_GB2312" w:eastAsia="仿宋_GB2312" w:cs="仿宋_GB2312"/>
              </w:rPr>
            </w:pPr>
          </w:p>
          <w:p w14:paraId="6746C8FB">
            <w:pPr>
              <w:pStyle w:val="15"/>
              <w:spacing w:line="278" w:lineRule="auto"/>
              <w:rPr>
                <w:rFonts w:hint="eastAsia" w:ascii="仿宋_GB2312" w:hAnsi="仿宋_GB2312" w:eastAsia="仿宋_GB2312" w:cs="仿宋_GB2312"/>
              </w:rPr>
            </w:pPr>
          </w:p>
          <w:p w14:paraId="1E2933BC">
            <w:pPr>
              <w:pStyle w:val="15"/>
              <w:spacing w:line="278" w:lineRule="auto"/>
              <w:rPr>
                <w:rFonts w:hint="eastAsia" w:ascii="仿宋_GB2312" w:hAnsi="仿宋_GB2312" w:eastAsia="仿宋_GB2312" w:cs="仿宋_GB2312"/>
              </w:rPr>
            </w:pPr>
          </w:p>
          <w:p w14:paraId="47459C13">
            <w:pPr>
              <w:pStyle w:val="15"/>
              <w:spacing w:line="279" w:lineRule="auto"/>
              <w:rPr>
                <w:rFonts w:hint="eastAsia" w:ascii="仿宋_GB2312" w:hAnsi="仿宋_GB2312" w:eastAsia="仿宋_GB2312" w:cs="仿宋_GB2312"/>
              </w:rPr>
            </w:pPr>
          </w:p>
          <w:p w14:paraId="201ABBD3">
            <w:pPr>
              <w:spacing w:before="71" w:line="269" w:lineRule="auto"/>
              <w:ind w:left="115" w:right="217"/>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重大决策咨询类（100</w:t>
            </w:r>
            <w:r>
              <w:rPr>
                <w:rFonts w:hint="eastAsia" w:ascii="仿宋_GB2312" w:hAnsi="仿宋_GB2312" w:eastAsia="仿宋_GB2312" w:cs="仿宋_GB2312"/>
                <w:spacing w:val="-6"/>
                <w:sz w:val="22"/>
                <w:szCs w:val="22"/>
              </w:rPr>
              <w:t>分）</w:t>
            </w:r>
          </w:p>
        </w:tc>
        <w:tc>
          <w:tcPr>
            <w:tcW w:w="1349" w:type="dxa"/>
            <w:tcBorders>
              <w:top w:val="single" w:color="auto" w:sz="4" w:space="0"/>
            </w:tcBorders>
            <w:vAlign w:val="top"/>
          </w:tcPr>
          <w:p w14:paraId="670B9F73">
            <w:pPr>
              <w:spacing w:before="203" w:line="219" w:lineRule="auto"/>
              <w:ind w:left="123"/>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审核依据</w:t>
            </w:r>
          </w:p>
        </w:tc>
        <w:tc>
          <w:tcPr>
            <w:tcW w:w="2430" w:type="dxa"/>
            <w:tcBorders>
              <w:top w:val="single" w:color="auto" w:sz="4" w:space="0"/>
            </w:tcBorders>
            <w:vAlign w:val="top"/>
          </w:tcPr>
          <w:p w14:paraId="112CDC46">
            <w:pPr>
              <w:spacing w:before="203" w:line="220"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法律法规掌握程度</w:t>
            </w:r>
          </w:p>
        </w:tc>
        <w:tc>
          <w:tcPr>
            <w:tcW w:w="872" w:type="dxa"/>
            <w:tcBorders>
              <w:top w:val="single" w:color="auto" w:sz="4" w:space="0"/>
            </w:tcBorders>
            <w:vAlign w:val="top"/>
          </w:tcPr>
          <w:p w14:paraId="7FD1F713">
            <w:pPr>
              <w:spacing w:before="203"/>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tcBorders>
              <w:top w:val="single" w:color="auto" w:sz="4" w:space="0"/>
            </w:tcBorders>
            <w:vAlign w:val="top"/>
          </w:tcPr>
          <w:p w14:paraId="3CF86AEE">
            <w:pPr>
              <w:pStyle w:val="15"/>
              <w:rPr>
                <w:rFonts w:hint="eastAsia" w:ascii="仿宋_GB2312" w:hAnsi="仿宋_GB2312" w:eastAsia="仿宋_GB2312" w:cs="仿宋_GB2312"/>
              </w:rPr>
            </w:pPr>
          </w:p>
        </w:tc>
        <w:tc>
          <w:tcPr>
            <w:tcW w:w="590" w:type="dxa"/>
            <w:tcBorders>
              <w:top w:val="single" w:color="auto" w:sz="4" w:space="0"/>
            </w:tcBorders>
            <w:vAlign w:val="top"/>
          </w:tcPr>
          <w:p w14:paraId="667CAFE5">
            <w:pPr>
              <w:pStyle w:val="15"/>
              <w:rPr>
                <w:rFonts w:hint="eastAsia" w:ascii="仿宋_GB2312" w:hAnsi="仿宋_GB2312" w:eastAsia="仿宋_GB2312" w:cs="仿宋_GB2312"/>
              </w:rPr>
            </w:pPr>
          </w:p>
        </w:tc>
        <w:tc>
          <w:tcPr>
            <w:tcW w:w="590" w:type="dxa"/>
            <w:tcBorders>
              <w:top w:val="single" w:color="auto" w:sz="4" w:space="0"/>
            </w:tcBorders>
            <w:vAlign w:val="top"/>
          </w:tcPr>
          <w:p w14:paraId="4B77A587">
            <w:pPr>
              <w:pStyle w:val="15"/>
              <w:rPr>
                <w:rFonts w:hint="eastAsia" w:ascii="仿宋_GB2312" w:hAnsi="仿宋_GB2312" w:eastAsia="仿宋_GB2312" w:cs="仿宋_GB2312"/>
              </w:rPr>
            </w:pPr>
          </w:p>
        </w:tc>
        <w:tc>
          <w:tcPr>
            <w:tcW w:w="731" w:type="dxa"/>
            <w:tcBorders>
              <w:top w:val="single" w:color="auto" w:sz="4" w:space="0"/>
            </w:tcBorders>
            <w:vAlign w:val="top"/>
          </w:tcPr>
          <w:p w14:paraId="6B7C950C">
            <w:pPr>
              <w:pStyle w:val="15"/>
              <w:rPr>
                <w:rFonts w:hint="eastAsia" w:ascii="仿宋_GB2312" w:hAnsi="仿宋_GB2312" w:eastAsia="仿宋_GB2312" w:cs="仿宋_GB2312"/>
              </w:rPr>
            </w:pPr>
          </w:p>
        </w:tc>
        <w:tc>
          <w:tcPr>
            <w:tcW w:w="596" w:type="dxa"/>
            <w:tcBorders>
              <w:top w:val="single" w:color="auto" w:sz="4" w:space="0"/>
              <w:right w:val="single" w:color="auto" w:sz="4" w:space="0"/>
            </w:tcBorders>
            <w:vAlign w:val="top"/>
          </w:tcPr>
          <w:p w14:paraId="2649E281">
            <w:pPr>
              <w:pStyle w:val="15"/>
              <w:rPr>
                <w:rFonts w:hint="eastAsia" w:ascii="仿宋_GB2312" w:hAnsi="仿宋_GB2312" w:eastAsia="仿宋_GB2312" w:cs="仿宋_GB2312"/>
              </w:rPr>
            </w:pPr>
          </w:p>
        </w:tc>
      </w:tr>
      <w:tr w14:paraId="424FE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32" w:type="dxa"/>
            <w:vMerge w:val="continue"/>
            <w:tcBorders>
              <w:top w:val="nil"/>
              <w:left w:val="single" w:color="auto" w:sz="4" w:space="0"/>
              <w:bottom w:val="nil"/>
            </w:tcBorders>
            <w:vAlign w:val="top"/>
          </w:tcPr>
          <w:p w14:paraId="286AC93E">
            <w:pPr>
              <w:pStyle w:val="15"/>
              <w:rPr>
                <w:rFonts w:hint="eastAsia" w:ascii="仿宋_GB2312" w:hAnsi="仿宋_GB2312" w:eastAsia="仿宋_GB2312" w:cs="仿宋_GB2312"/>
              </w:rPr>
            </w:pPr>
          </w:p>
        </w:tc>
        <w:tc>
          <w:tcPr>
            <w:tcW w:w="1349" w:type="dxa"/>
            <w:vMerge w:val="restart"/>
            <w:tcBorders>
              <w:bottom w:val="nil"/>
            </w:tcBorders>
            <w:vAlign w:val="top"/>
          </w:tcPr>
          <w:p w14:paraId="49DD6470">
            <w:pPr>
              <w:pStyle w:val="15"/>
              <w:spacing w:line="254" w:lineRule="auto"/>
              <w:rPr>
                <w:rFonts w:hint="eastAsia" w:ascii="仿宋_GB2312" w:hAnsi="仿宋_GB2312" w:eastAsia="仿宋_GB2312" w:cs="仿宋_GB2312"/>
              </w:rPr>
            </w:pPr>
          </w:p>
          <w:p w14:paraId="7A8C1B2F">
            <w:pPr>
              <w:pStyle w:val="15"/>
              <w:spacing w:line="254" w:lineRule="auto"/>
              <w:rPr>
                <w:rFonts w:hint="eastAsia" w:ascii="仿宋_GB2312" w:hAnsi="仿宋_GB2312" w:eastAsia="仿宋_GB2312" w:cs="仿宋_GB2312"/>
              </w:rPr>
            </w:pPr>
          </w:p>
          <w:p w14:paraId="1ECA3D94">
            <w:pPr>
              <w:pStyle w:val="15"/>
              <w:spacing w:line="254" w:lineRule="auto"/>
              <w:rPr>
                <w:rFonts w:hint="eastAsia" w:ascii="仿宋_GB2312" w:hAnsi="仿宋_GB2312" w:eastAsia="仿宋_GB2312" w:cs="仿宋_GB2312"/>
              </w:rPr>
            </w:pPr>
          </w:p>
          <w:p w14:paraId="373D0134">
            <w:pPr>
              <w:spacing w:before="71" w:line="220" w:lineRule="auto"/>
              <w:ind w:left="123"/>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审核内容</w:t>
            </w:r>
          </w:p>
        </w:tc>
        <w:tc>
          <w:tcPr>
            <w:tcW w:w="2430" w:type="dxa"/>
            <w:vAlign w:val="top"/>
          </w:tcPr>
          <w:p w14:paraId="77276FFE">
            <w:pPr>
              <w:spacing w:before="204" w:line="222"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合法合规性</w:t>
            </w:r>
          </w:p>
        </w:tc>
        <w:tc>
          <w:tcPr>
            <w:tcW w:w="872" w:type="dxa"/>
            <w:vAlign w:val="top"/>
          </w:tcPr>
          <w:p w14:paraId="536C269E">
            <w:pPr>
              <w:spacing w:before="205"/>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vAlign w:val="top"/>
          </w:tcPr>
          <w:p w14:paraId="2DB38D97">
            <w:pPr>
              <w:pStyle w:val="15"/>
              <w:rPr>
                <w:rFonts w:hint="eastAsia" w:ascii="仿宋_GB2312" w:hAnsi="仿宋_GB2312" w:eastAsia="仿宋_GB2312" w:cs="仿宋_GB2312"/>
              </w:rPr>
            </w:pPr>
          </w:p>
        </w:tc>
        <w:tc>
          <w:tcPr>
            <w:tcW w:w="590" w:type="dxa"/>
            <w:vAlign w:val="top"/>
          </w:tcPr>
          <w:p w14:paraId="395CABB9">
            <w:pPr>
              <w:pStyle w:val="15"/>
              <w:rPr>
                <w:rFonts w:hint="eastAsia" w:ascii="仿宋_GB2312" w:hAnsi="仿宋_GB2312" w:eastAsia="仿宋_GB2312" w:cs="仿宋_GB2312"/>
              </w:rPr>
            </w:pPr>
          </w:p>
        </w:tc>
        <w:tc>
          <w:tcPr>
            <w:tcW w:w="590" w:type="dxa"/>
            <w:vAlign w:val="top"/>
          </w:tcPr>
          <w:p w14:paraId="7432C296">
            <w:pPr>
              <w:pStyle w:val="15"/>
              <w:rPr>
                <w:rFonts w:hint="eastAsia" w:ascii="仿宋_GB2312" w:hAnsi="仿宋_GB2312" w:eastAsia="仿宋_GB2312" w:cs="仿宋_GB2312"/>
              </w:rPr>
            </w:pPr>
          </w:p>
        </w:tc>
        <w:tc>
          <w:tcPr>
            <w:tcW w:w="731" w:type="dxa"/>
            <w:vAlign w:val="top"/>
          </w:tcPr>
          <w:p w14:paraId="541B2C4E">
            <w:pPr>
              <w:pStyle w:val="15"/>
              <w:rPr>
                <w:rFonts w:hint="eastAsia" w:ascii="仿宋_GB2312" w:hAnsi="仿宋_GB2312" w:eastAsia="仿宋_GB2312" w:cs="仿宋_GB2312"/>
              </w:rPr>
            </w:pPr>
          </w:p>
        </w:tc>
        <w:tc>
          <w:tcPr>
            <w:tcW w:w="596" w:type="dxa"/>
            <w:tcBorders>
              <w:right w:val="single" w:color="auto" w:sz="4" w:space="0"/>
            </w:tcBorders>
            <w:vAlign w:val="top"/>
          </w:tcPr>
          <w:p w14:paraId="3D7834FD">
            <w:pPr>
              <w:pStyle w:val="15"/>
              <w:rPr>
                <w:rFonts w:hint="eastAsia" w:ascii="仿宋_GB2312" w:hAnsi="仿宋_GB2312" w:eastAsia="仿宋_GB2312" w:cs="仿宋_GB2312"/>
              </w:rPr>
            </w:pPr>
          </w:p>
        </w:tc>
      </w:tr>
      <w:tr w14:paraId="2CF60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left w:val="single" w:color="auto" w:sz="4" w:space="0"/>
              <w:bottom w:val="nil"/>
            </w:tcBorders>
            <w:vAlign w:val="top"/>
          </w:tcPr>
          <w:p w14:paraId="09A0CF42">
            <w:pPr>
              <w:pStyle w:val="15"/>
              <w:rPr>
                <w:rFonts w:hint="eastAsia" w:ascii="仿宋_GB2312" w:hAnsi="仿宋_GB2312" w:eastAsia="仿宋_GB2312" w:cs="仿宋_GB2312"/>
              </w:rPr>
            </w:pPr>
          </w:p>
        </w:tc>
        <w:tc>
          <w:tcPr>
            <w:tcW w:w="1349" w:type="dxa"/>
            <w:vMerge w:val="continue"/>
            <w:tcBorders>
              <w:top w:val="nil"/>
              <w:bottom w:val="nil"/>
            </w:tcBorders>
            <w:vAlign w:val="top"/>
          </w:tcPr>
          <w:p w14:paraId="6216E379">
            <w:pPr>
              <w:pStyle w:val="15"/>
              <w:rPr>
                <w:rFonts w:hint="eastAsia" w:ascii="仿宋_GB2312" w:hAnsi="仿宋_GB2312" w:eastAsia="仿宋_GB2312" w:cs="仿宋_GB2312"/>
              </w:rPr>
            </w:pPr>
          </w:p>
        </w:tc>
        <w:tc>
          <w:tcPr>
            <w:tcW w:w="2430" w:type="dxa"/>
            <w:vAlign w:val="top"/>
          </w:tcPr>
          <w:p w14:paraId="19367FE9">
            <w:pPr>
              <w:spacing w:before="205" w:line="220" w:lineRule="auto"/>
              <w:ind w:left="120"/>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决策流程合制度性</w:t>
            </w:r>
          </w:p>
        </w:tc>
        <w:tc>
          <w:tcPr>
            <w:tcW w:w="872" w:type="dxa"/>
            <w:vAlign w:val="top"/>
          </w:tcPr>
          <w:p w14:paraId="39B68450">
            <w:pPr>
              <w:spacing w:before="205"/>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7FD57129">
            <w:pPr>
              <w:pStyle w:val="15"/>
              <w:rPr>
                <w:rFonts w:hint="eastAsia" w:ascii="仿宋_GB2312" w:hAnsi="仿宋_GB2312" w:eastAsia="仿宋_GB2312" w:cs="仿宋_GB2312"/>
              </w:rPr>
            </w:pPr>
          </w:p>
        </w:tc>
        <w:tc>
          <w:tcPr>
            <w:tcW w:w="590" w:type="dxa"/>
            <w:vAlign w:val="top"/>
          </w:tcPr>
          <w:p w14:paraId="42AE1E77">
            <w:pPr>
              <w:pStyle w:val="15"/>
              <w:rPr>
                <w:rFonts w:hint="eastAsia" w:ascii="仿宋_GB2312" w:hAnsi="仿宋_GB2312" w:eastAsia="仿宋_GB2312" w:cs="仿宋_GB2312"/>
              </w:rPr>
            </w:pPr>
          </w:p>
        </w:tc>
        <w:tc>
          <w:tcPr>
            <w:tcW w:w="590" w:type="dxa"/>
            <w:vAlign w:val="top"/>
          </w:tcPr>
          <w:p w14:paraId="6A76B505">
            <w:pPr>
              <w:pStyle w:val="15"/>
              <w:rPr>
                <w:rFonts w:hint="eastAsia" w:ascii="仿宋_GB2312" w:hAnsi="仿宋_GB2312" w:eastAsia="仿宋_GB2312" w:cs="仿宋_GB2312"/>
              </w:rPr>
            </w:pPr>
          </w:p>
        </w:tc>
        <w:tc>
          <w:tcPr>
            <w:tcW w:w="731" w:type="dxa"/>
            <w:vAlign w:val="top"/>
          </w:tcPr>
          <w:p w14:paraId="6F06BE70">
            <w:pPr>
              <w:pStyle w:val="15"/>
              <w:rPr>
                <w:rFonts w:hint="eastAsia" w:ascii="仿宋_GB2312" w:hAnsi="仿宋_GB2312" w:eastAsia="仿宋_GB2312" w:cs="仿宋_GB2312"/>
              </w:rPr>
            </w:pPr>
          </w:p>
        </w:tc>
        <w:tc>
          <w:tcPr>
            <w:tcW w:w="596" w:type="dxa"/>
            <w:tcBorders>
              <w:right w:val="single" w:color="auto" w:sz="4" w:space="0"/>
            </w:tcBorders>
            <w:vAlign w:val="top"/>
          </w:tcPr>
          <w:p w14:paraId="3316C9FB">
            <w:pPr>
              <w:pStyle w:val="15"/>
              <w:rPr>
                <w:rFonts w:hint="eastAsia" w:ascii="仿宋_GB2312" w:hAnsi="仿宋_GB2312" w:eastAsia="仿宋_GB2312" w:cs="仿宋_GB2312"/>
              </w:rPr>
            </w:pPr>
          </w:p>
        </w:tc>
      </w:tr>
      <w:tr w14:paraId="39621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left w:val="single" w:color="auto" w:sz="4" w:space="0"/>
              <w:bottom w:val="nil"/>
            </w:tcBorders>
            <w:vAlign w:val="top"/>
          </w:tcPr>
          <w:p w14:paraId="1701A0F5">
            <w:pPr>
              <w:pStyle w:val="15"/>
              <w:rPr>
                <w:rFonts w:hint="eastAsia" w:ascii="仿宋_GB2312" w:hAnsi="仿宋_GB2312" w:eastAsia="仿宋_GB2312" w:cs="仿宋_GB2312"/>
              </w:rPr>
            </w:pPr>
          </w:p>
        </w:tc>
        <w:tc>
          <w:tcPr>
            <w:tcW w:w="1349" w:type="dxa"/>
            <w:vMerge w:val="continue"/>
            <w:tcBorders>
              <w:top w:val="nil"/>
            </w:tcBorders>
            <w:vAlign w:val="top"/>
          </w:tcPr>
          <w:p w14:paraId="04E3C4F9">
            <w:pPr>
              <w:pStyle w:val="15"/>
              <w:rPr>
                <w:rFonts w:hint="eastAsia" w:ascii="仿宋_GB2312" w:hAnsi="仿宋_GB2312" w:eastAsia="仿宋_GB2312" w:cs="仿宋_GB2312"/>
              </w:rPr>
            </w:pPr>
          </w:p>
        </w:tc>
        <w:tc>
          <w:tcPr>
            <w:tcW w:w="2430" w:type="dxa"/>
            <w:vAlign w:val="top"/>
          </w:tcPr>
          <w:p w14:paraId="66EAE596">
            <w:pPr>
              <w:spacing w:before="205" w:line="220"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完整性</w:t>
            </w:r>
          </w:p>
        </w:tc>
        <w:tc>
          <w:tcPr>
            <w:tcW w:w="872" w:type="dxa"/>
            <w:vAlign w:val="top"/>
          </w:tcPr>
          <w:p w14:paraId="02A946BB">
            <w:pPr>
              <w:spacing w:before="205"/>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22D53717">
            <w:pPr>
              <w:pStyle w:val="15"/>
              <w:rPr>
                <w:rFonts w:hint="eastAsia" w:ascii="仿宋_GB2312" w:hAnsi="仿宋_GB2312" w:eastAsia="仿宋_GB2312" w:cs="仿宋_GB2312"/>
              </w:rPr>
            </w:pPr>
          </w:p>
        </w:tc>
        <w:tc>
          <w:tcPr>
            <w:tcW w:w="590" w:type="dxa"/>
            <w:vAlign w:val="top"/>
          </w:tcPr>
          <w:p w14:paraId="3557E704">
            <w:pPr>
              <w:pStyle w:val="15"/>
              <w:rPr>
                <w:rFonts w:hint="eastAsia" w:ascii="仿宋_GB2312" w:hAnsi="仿宋_GB2312" w:eastAsia="仿宋_GB2312" w:cs="仿宋_GB2312"/>
              </w:rPr>
            </w:pPr>
          </w:p>
        </w:tc>
        <w:tc>
          <w:tcPr>
            <w:tcW w:w="590" w:type="dxa"/>
            <w:vAlign w:val="top"/>
          </w:tcPr>
          <w:p w14:paraId="25C2A9C5">
            <w:pPr>
              <w:pStyle w:val="15"/>
              <w:rPr>
                <w:rFonts w:hint="eastAsia" w:ascii="仿宋_GB2312" w:hAnsi="仿宋_GB2312" w:eastAsia="仿宋_GB2312" w:cs="仿宋_GB2312"/>
              </w:rPr>
            </w:pPr>
          </w:p>
        </w:tc>
        <w:tc>
          <w:tcPr>
            <w:tcW w:w="731" w:type="dxa"/>
            <w:vAlign w:val="top"/>
          </w:tcPr>
          <w:p w14:paraId="10265D30">
            <w:pPr>
              <w:pStyle w:val="15"/>
              <w:rPr>
                <w:rFonts w:hint="eastAsia" w:ascii="仿宋_GB2312" w:hAnsi="仿宋_GB2312" w:eastAsia="仿宋_GB2312" w:cs="仿宋_GB2312"/>
              </w:rPr>
            </w:pPr>
          </w:p>
        </w:tc>
        <w:tc>
          <w:tcPr>
            <w:tcW w:w="596" w:type="dxa"/>
            <w:tcBorders>
              <w:right w:val="single" w:color="auto" w:sz="4" w:space="0"/>
            </w:tcBorders>
            <w:vAlign w:val="top"/>
          </w:tcPr>
          <w:p w14:paraId="601EBAD6">
            <w:pPr>
              <w:pStyle w:val="15"/>
              <w:rPr>
                <w:rFonts w:hint="eastAsia" w:ascii="仿宋_GB2312" w:hAnsi="仿宋_GB2312" w:eastAsia="仿宋_GB2312" w:cs="仿宋_GB2312"/>
              </w:rPr>
            </w:pPr>
          </w:p>
        </w:tc>
      </w:tr>
      <w:tr w14:paraId="463D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left w:val="single" w:color="auto" w:sz="4" w:space="0"/>
              <w:bottom w:val="nil"/>
            </w:tcBorders>
            <w:vAlign w:val="top"/>
          </w:tcPr>
          <w:p w14:paraId="1AE928B5">
            <w:pPr>
              <w:pStyle w:val="15"/>
              <w:rPr>
                <w:rFonts w:hint="eastAsia" w:ascii="仿宋_GB2312" w:hAnsi="仿宋_GB2312" w:eastAsia="仿宋_GB2312" w:cs="仿宋_GB2312"/>
              </w:rPr>
            </w:pPr>
          </w:p>
        </w:tc>
        <w:tc>
          <w:tcPr>
            <w:tcW w:w="1349" w:type="dxa"/>
            <w:vMerge w:val="restart"/>
            <w:tcBorders>
              <w:bottom w:val="nil"/>
            </w:tcBorders>
            <w:vAlign w:val="top"/>
          </w:tcPr>
          <w:p w14:paraId="7CDED351">
            <w:pPr>
              <w:pStyle w:val="15"/>
              <w:spacing w:line="446" w:lineRule="auto"/>
              <w:rPr>
                <w:rFonts w:hint="eastAsia" w:ascii="仿宋_GB2312" w:hAnsi="仿宋_GB2312" w:eastAsia="仿宋_GB2312" w:cs="仿宋_GB2312"/>
              </w:rPr>
            </w:pPr>
          </w:p>
          <w:p w14:paraId="7E81C393">
            <w:pPr>
              <w:spacing w:before="72" w:line="221"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关注风险点</w:t>
            </w:r>
          </w:p>
        </w:tc>
        <w:tc>
          <w:tcPr>
            <w:tcW w:w="2430" w:type="dxa"/>
            <w:vAlign w:val="top"/>
          </w:tcPr>
          <w:p w14:paraId="4AD62759">
            <w:pPr>
              <w:spacing w:before="204" w:line="220"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法律风险</w:t>
            </w:r>
          </w:p>
        </w:tc>
        <w:tc>
          <w:tcPr>
            <w:tcW w:w="872" w:type="dxa"/>
            <w:vAlign w:val="top"/>
          </w:tcPr>
          <w:p w14:paraId="69D384CF">
            <w:pPr>
              <w:spacing w:before="205"/>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vAlign w:val="top"/>
          </w:tcPr>
          <w:p w14:paraId="7240CE30">
            <w:pPr>
              <w:pStyle w:val="15"/>
              <w:rPr>
                <w:rFonts w:hint="eastAsia" w:ascii="仿宋_GB2312" w:hAnsi="仿宋_GB2312" w:eastAsia="仿宋_GB2312" w:cs="仿宋_GB2312"/>
              </w:rPr>
            </w:pPr>
          </w:p>
        </w:tc>
        <w:tc>
          <w:tcPr>
            <w:tcW w:w="590" w:type="dxa"/>
            <w:vAlign w:val="top"/>
          </w:tcPr>
          <w:p w14:paraId="6DCAEA11">
            <w:pPr>
              <w:pStyle w:val="15"/>
              <w:rPr>
                <w:rFonts w:hint="eastAsia" w:ascii="仿宋_GB2312" w:hAnsi="仿宋_GB2312" w:eastAsia="仿宋_GB2312" w:cs="仿宋_GB2312"/>
              </w:rPr>
            </w:pPr>
          </w:p>
        </w:tc>
        <w:tc>
          <w:tcPr>
            <w:tcW w:w="590" w:type="dxa"/>
            <w:vAlign w:val="top"/>
          </w:tcPr>
          <w:p w14:paraId="55224722">
            <w:pPr>
              <w:pStyle w:val="15"/>
              <w:rPr>
                <w:rFonts w:hint="eastAsia" w:ascii="仿宋_GB2312" w:hAnsi="仿宋_GB2312" w:eastAsia="仿宋_GB2312" w:cs="仿宋_GB2312"/>
              </w:rPr>
            </w:pPr>
          </w:p>
        </w:tc>
        <w:tc>
          <w:tcPr>
            <w:tcW w:w="731" w:type="dxa"/>
            <w:vAlign w:val="top"/>
          </w:tcPr>
          <w:p w14:paraId="712D6420">
            <w:pPr>
              <w:pStyle w:val="15"/>
              <w:rPr>
                <w:rFonts w:hint="eastAsia" w:ascii="仿宋_GB2312" w:hAnsi="仿宋_GB2312" w:eastAsia="仿宋_GB2312" w:cs="仿宋_GB2312"/>
              </w:rPr>
            </w:pPr>
          </w:p>
        </w:tc>
        <w:tc>
          <w:tcPr>
            <w:tcW w:w="596" w:type="dxa"/>
            <w:tcBorders>
              <w:right w:val="single" w:color="auto" w:sz="4" w:space="0"/>
            </w:tcBorders>
            <w:vAlign w:val="top"/>
          </w:tcPr>
          <w:p w14:paraId="09668DB2">
            <w:pPr>
              <w:pStyle w:val="15"/>
              <w:rPr>
                <w:rFonts w:hint="eastAsia" w:ascii="仿宋_GB2312" w:hAnsi="仿宋_GB2312" w:eastAsia="仿宋_GB2312" w:cs="仿宋_GB2312"/>
              </w:rPr>
            </w:pPr>
          </w:p>
        </w:tc>
      </w:tr>
      <w:tr w14:paraId="5275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32" w:type="dxa"/>
            <w:vMerge w:val="continue"/>
            <w:tcBorders>
              <w:top w:val="nil"/>
              <w:left w:val="single" w:color="auto" w:sz="4" w:space="0"/>
              <w:bottom w:val="single" w:color="auto" w:sz="4" w:space="0"/>
            </w:tcBorders>
            <w:vAlign w:val="top"/>
          </w:tcPr>
          <w:p w14:paraId="15BB2BC3">
            <w:pPr>
              <w:pStyle w:val="15"/>
              <w:rPr>
                <w:rFonts w:hint="eastAsia" w:ascii="仿宋_GB2312" w:hAnsi="仿宋_GB2312" w:eastAsia="仿宋_GB2312" w:cs="仿宋_GB2312"/>
              </w:rPr>
            </w:pPr>
          </w:p>
        </w:tc>
        <w:tc>
          <w:tcPr>
            <w:tcW w:w="1349" w:type="dxa"/>
            <w:vMerge w:val="continue"/>
            <w:tcBorders>
              <w:top w:val="nil"/>
              <w:bottom w:val="single" w:color="auto" w:sz="4" w:space="0"/>
            </w:tcBorders>
            <w:vAlign w:val="top"/>
          </w:tcPr>
          <w:p w14:paraId="76FD40D2">
            <w:pPr>
              <w:pStyle w:val="15"/>
              <w:rPr>
                <w:rFonts w:hint="eastAsia" w:ascii="仿宋_GB2312" w:hAnsi="仿宋_GB2312" w:eastAsia="仿宋_GB2312" w:cs="仿宋_GB2312"/>
              </w:rPr>
            </w:pPr>
          </w:p>
        </w:tc>
        <w:tc>
          <w:tcPr>
            <w:tcW w:w="2430" w:type="dxa"/>
            <w:tcBorders>
              <w:bottom w:val="single" w:color="auto" w:sz="4" w:space="0"/>
            </w:tcBorders>
            <w:vAlign w:val="top"/>
          </w:tcPr>
          <w:p w14:paraId="4EE2BD2D">
            <w:pPr>
              <w:spacing w:before="204" w:line="220" w:lineRule="auto"/>
              <w:ind w:left="113"/>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程序瑕疵风险</w:t>
            </w:r>
          </w:p>
        </w:tc>
        <w:tc>
          <w:tcPr>
            <w:tcW w:w="872" w:type="dxa"/>
            <w:tcBorders>
              <w:bottom w:val="single" w:color="auto" w:sz="4" w:space="0"/>
            </w:tcBorders>
            <w:vAlign w:val="top"/>
          </w:tcPr>
          <w:p w14:paraId="6577A966">
            <w:pPr>
              <w:spacing w:before="204"/>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tcBorders>
              <w:bottom w:val="single" w:color="auto" w:sz="4" w:space="0"/>
            </w:tcBorders>
            <w:vAlign w:val="top"/>
          </w:tcPr>
          <w:p w14:paraId="4C7ECAB4">
            <w:pPr>
              <w:pStyle w:val="15"/>
              <w:rPr>
                <w:rFonts w:hint="eastAsia" w:ascii="仿宋_GB2312" w:hAnsi="仿宋_GB2312" w:eastAsia="仿宋_GB2312" w:cs="仿宋_GB2312"/>
              </w:rPr>
            </w:pPr>
          </w:p>
        </w:tc>
        <w:tc>
          <w:tcPr>
            <w:tcW w:w="590" w:type="dxa"/>
            <w:tcBorders>
              <w:bottom w:val="single" w:color="auto" w:sz="4" w:space="0"/>
            </w:tcBorders>
            <w:vAlign w:val="top"/>
          </w:tcPr>
          <w:p w14:paraId="43986D9A">
            <w:pPr>
              <w:pStyle w:val="15"/>
              <w:rPr>
                <w:rFonts w:hint="eastAsia" w:ascii="仿宋_GB2312" w:hAnsi="仿宋_GB2312" w:eastAsia="仿宋_GB2312" w:cs="仿宋_GB2312"/>
              </w:rPr>
            </w:pPr>
          </w:p>
        </w:tc>
        <w:tc>
          <w:tcPr>
            <w:tcW w:w="590" w:type="dxa"/>
            <w:tcBorders>
              <w:bottom w:val="single" w:color="auto" w:sz="4" w:space="0"/>
            </w:tcBorders>
            <w:vAlign w:val="top"/>
          </w:tcPr>
          <w:p w14:paraId="3734E0BF">
            <w:pPr>
              <w:pStyle w:val="15"/>
              <w:rPr>
                <w:rFonts w:hint="eastAsia" w:ascii="仿宋_GB2312" w:hAnsi="仿宋_GB2312" w:eastAsia="仿宋_GB2312" w:cs="仿宋_GB2312"/>
              </w:rPr>
            </w:pPr>
          </w:p>
        </w:tc>
        <w:tc>
          <w:tcPr>
            <w:tcW w:w="731" w:type="dxa"/>
            <w:tcBorders>
              <w:bottom w:val="single" w:color="auto" w:sz="4" w:space="0"/>
            </w:tcBorders>
            <w:vAlign w:val="top"/>
          </w:tcPr>
          <w:p w14:paraId="37CB9BC0">
            <w:pPr>
              <w:pStyle w:val="15"/>
              <w:rPr>
                <w:rFonts w:hint="eastAsia" w:ascii="仿宋_GB2312" w:hAnsi="仿宋_GB2312" w:eastAsia="仿宋_GB2312" w:cs="仿宋_GB2312"/>
              </w:rPr>
            </w:pPr>
          </w:p>
        </w:tc>
        <w:tc>
          <w:tcPr>
            <w:tcW w:w="596" w:type="dxa"/>
            <w:tcBorders>
              <w:bottom w:val="single" w:color="auto" w:sz="4" w:space="0"/>
              <w:right w:val="single" w:color="auto" w:sz="4" w:space="0"/>
            </w:tcBorders>
            <w:vAlign w:val="top"/>
          </w:tcPr>
          <w:p w14:paraId="0EE6C3F6">
            <w:pPr>
              <w:pStyle w:val="15"/>
              <w:rPr>
                <w:rFonts w:hint="eastAsia" w:ascii="仿宋_GB2312" w:hAnsi="仿宋_GB2312" w:eastAsia="仿宋_GB2312" w:cs="仿宋_GB2312"/>
              </w:rPr>
            </w:pPr>
          </w:p>
        </w:tc>
      </w:tr>
    </w:tbl>
    <w:p w14:paraId="67A3D148">
      <w:pPr>
        <w:spacing w:before="190" w:line="277" w:lineRule="auto"/>
        <w:ind w:left="17" w:right="70" w:firstLine="655"/>
        <w:rPr>
          <w:rFonts w:hint="eastAsia" w:ascii="仿宋_GB2312" w:hAnsi="仿宋_GB2312" w:eastAsia="仿宋_GB2312" w:cs="仿宋_GB2312"/>
          <w:sz w:val="31"/>
          <w:szCs w:val="31"/>
        </w:rPr>
      </w:pPr>
    </w:p>
    <w:p w14:paraId="42C82B3D">
      <w:pPr>
        <w:spacing w:before="190" w:line="277" w:lineRule="auto"/>
        <w:ind w:left="17" w:right="70" w:firstLine="655"/>
        <w:rPr>
          <w:rFonts w:hint="eastAsia" w:ascii="仿宋_GB2312" w:hAnsi="仿宋_GB2312" w:eastAsia="仿宋_GB2312" w:cs="仿宋_GB2312"/>
          <w:sz w:val="31"/>
          <w:szCs w:val="31"/>
        </w:rPr>
      </w:pPr>
    </w:p>
    <w:tbl>
      <w:tblPr>
        <w:tblStyle w:val="14"/>
        <w:tblW w:w="9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2"/>
        <w:gridCol w:w="1349"/>
        <w:gridCol w:w="2430"/>
        <w:gridCol w:w="872"/>
        <w:gridCol w:w="590"/>
        <w:gridCol w:w="590"/>
        <w:gridCol w:w="590"/>
        <w:gridCol w:w="731"/>
        <w:gridCol w:w="596"/>
      </w:tblGrid>
      <w:tr w14:paraId="64BDF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32" w:type="dxa"/>
            <w:tcBorders>
              <w:top w:val="single" w:color="auto" w:sz="4" w:space="0"/>
              <w:left w:val="single" w:color="auto" w:sz="4" w:space="0"/>
            </w:tcBorders>
            <w:vAlign w:val="top"/>
          </w:tcPr>
          <w:p w14:paraId="3FA8AB33">
            <w:pPr>
              <w:pStyle w:val="15"/>
              <w:rPr>
                <w:rFonts w:hint="eastAsia" w:ascii="仿宋_GB2312" w:hAnsi="仿宋_GB2312" w:eastAsia="仿宋_GB2312" w:cs="仿宋_GB2312"/>
              </w:rPr>
            </w:pPr>
          </w:p>
        </w:tc>
        <w:tc>
          <w:tcPr>
            <w:tcW w:w="1349" w:type="dxa"/>
            <w:tcBorders>
              <w:top w:val="single" w:color="auto" w:sz="4" w:space="0"/>
            </w:tcBorders>
            <w:vAlign w:val="top"/>
          </w:tcPr>
          <w:p w14:paraId="2C592AB0">
            <w:pPr>
              <w:pStyle w:val="15"/>
              <w:rPr>
                <w:rFonts w:hint="eastAsia" w:ascii="仿宋_GB2312" w:hAnsi="仿宋_GB2312" w:eastAsia="仿宋_GB2312" w:cs="仿宋_GB2312"/>
              </w:rPr>
            </w:pPr>
          </w:p>
        </w:tc>
        <w:tc>
          <w:tcPr>
            <w:tcW w:w="2430" w:type="dxa"/>
            <w:tcBorders>
              <w:top w:val="single" w:color="auto" w:sz="4" w:space="0"/>
            </w:tcBorders>
            <w:vAlign w:val="top"/>
          </w:tcPr>
          <w:p w14:paraId="17AA1F85">
            <w:pPr>
              <w:spacing w:before="205" w:line="220" w:lineRule="auto"/>
              <w:ind w:left="11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执行风险</w:t>
            </w:r>
          </w:p>
        </w:tc>
        <w:tc>
          <w:tcPr>
            <w:tcW w:w="872" w:type="dxa"/>
            <w:tcBorders>
              <w:top w:val="single" w:color="auto" w:sz="4" w:space="0"/>
            </w:tcBorders>
            <w:vAlign w:val="top"/>
          </w:tcPr>
          <w:p w14:paraId="7865BE2B">
            <w:pPr>
              <w:spacing w:before="205"/>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tcBorders>
              <w:top w:val="single" w:color="auto" w:sz="4" w:space="0"/>
            </w:tcBorders>
            <w:vAlign w:val="top"/>
          </w:tcPr>
          <w:p w14:paraId="527B6D4F">
            <w:pPr>
              <w:pStyle w:val="15"/>
              <w:rPr>
                <w:rFonts w:hint="eastAsia" w:ascii="仿宋_GB2312" w:hAnsi="仿宋_GB2312" w:eastAsia="仿宋_GB2312" w:cs="仿宋_GB2312"/>
              </w:rPr>
            </w:pPr>
          </w:p>
        </w:tc>
        <w:tc>
          <w:tcPr>
            <w:tcW w:w="590" w:type="dxa"/>
            <w:tcBorders>
              <w:top w:val="single" w:color="auto" w:sz="4" w:space="0"/>
            </w:tcBorders>
            <w:vAlign w:val="top"/>
          </w:tcPr>
          <w:p w14:paraId="0180D029">
            <w:pPr>
              <w:pStyle w:val="15"/>
              <w:rPr>
                <w:rFonts w:hint="eastAsia" w:ascii="仿宋_GB2312" w:hAnsi="仿宋_GB2312" w:eastAsia="仿宋_GB2312" w:cs="仿宋_GB2312"/>
              </w:rPr>
            </w:pPr>
          </w:p>
        </w:tc>
        <w:tc>
          <w:tcPr>
            <w:tcW w:w="590" w:type="dxa"/>
            <w:tcBorders>
              <w:top w:val="single" w:color="auto" w:sz="4" w:space="0"/>
            </w:tcBorders>
            <w:vAlign w:val="top"/>
          </w:tcPr>
          <w:p w14:paraId="29414027">
            <w:pPr>
              <w:pStyle w:val="15"/>
              <w:rPr>
                <w:rFonts w:hint="eastAsia" w:ascii="仿宋_GB2312" w:hAnsi="仿宋_GB2312" w:eastAsia="仿宋_GB2312" w:cs="仿宋_GB2312"/>
              </w:rPr>
            </w:pPr>
          </w:p>
        </w:tc>
        <w:tc>
          <w:tcPr>
            <w:tcW w:w="731" w:type="dxa"/>
            <w:tcBorders>
              <w:top w:val="single" w:color="auto" w:sz="4" w:space="0"/>
            </w:tcBorders>
            <w:vAlign w:val="top"/>
          </w:tcPr>
          <w:p w14:paraId="4501BAB9">
            <w:pPr>
              <w:pStyle w:val="15"/>
              <w:rPr>
                <w:rFonts w:hint="eastAsia" w:ascii="仿宋_GB2312" w:hAnsi="仿宋_GB2312" w:eastAsia="仿宋_GB2312" w:cs="仿宋_GB2312"/>
              </w:rPr>
            </w:pPr>
          </w:p>
        </w:tc>
        <w:tc>
          <w:tcPr>
            <w:tcW w:w="596" w:type="dxa"/>
            <w:tcBorders>
              <w:top w:val="single" w:color="auto" w:sz="4" w:space="0"/>
              <w:right w:val="single" w:color="auto" w:sz="4" w:space="0"/>
            </w:tcBorders>
            <w:vAlign w:val="top"/>
          </w:tcPr>
          <w:p w14:paraId="7DF9D37C">
            <w:pPr>
              <w:pStyle w:val="15"/>
              <w:rPr>
                <w:rFonts w:hint="eastAsia" w:ascii="仿宋_GB2312" w:hAnsi="仿宋_GB2312" w:eastAsia="仿宋_GB2312" w:cs="仿宋_GB2312"/>
              </w:rPr>
            </w:pPr>
          </w:p>
        </w:tc>
      </w:tr>
      <w:tr w14:paraId="249CD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restart"/>
            <w:tcBorders>
              <w:left w:val="single" w:color="auto" w:sz="4" w:space="0"/>
              <w:bottom w:val="nil"/>
            </w:tcBorders>
            <w:vAlign w:val="top"/>
          </w:tcPr>
          <w:p w14:paraId="16A8EBBE">
            <w:pPr>
              <w:pStyle w:val="15"/>
              <w:spacing w:line="257" w:lineRule="auto"/>
              <w:rPr>
                <w:rFonts w:hint="eastAsia" w:ascii="仿宋_GB2312" w:hAnsi="仿宋_GB2312" w:eastAsia="仿宋_GB2312" w:cs="仿宋_GB2312"/>
              </w:rPr>
            </w:pPr>
          </w:p>
          <w:p w14:paraId="68D0D911">
            <w:pPr>
              <w:pStyle w:val="15"/>
              <w:spacing w:line="257" w:lineRule="auto"/>
              <w:rPr>
                <w:rFonts w:hint="eastAsia" w:ascii="仿宋_GB2312" w:hAnsi="仿宋_GB2312" w:eastAsia="仿宋_GB2312" w:cs="仿宋_GB2312"/>
              </w:rPr>
            </w:pPr>
          </w:p>
          <w:p w14:paraId="375B2190">
            <w:pPr>
              <w:pStyle w:val="15"/>
              <w:spacing w:line="257" w:lineRule="auto"/>
              <w:rPr>
                <w:rFonts w:hint="eastAsia" w:ascii="仿宋_GB2312" w:hAnsi="仿宋_GB2312" w:eastAsia="仿宋_GB2312" w:cs="仿宋_GB2312"/>
              </w:rPr>
            </w:pPr>
          </w:p>
          <w:p w14:paraId="545A08C8">
            <w:pPr>
              <w:pStyle w:val="15"/>
              <w:spacing w:line="258" w:lineRule="auto"/>
              <w:rPr>
                <w:rFonts w:hint="eastAsia" w:ascii="仿宋_GB2312" w:hAnsi="仿宋_GB2312" w:eastAsia="仿宋_GB2312" w:cs="仿宋_GB2312"/>
              </w:rPr>
            </w:pPr>
          </w:p>
          <w:p w14:paraId="1793B061">
            <w:pPr>
              <w:pStyle w:val="15"/>
              <w:spacing w:line="258" w:lineRule="auto"/>
              <w:rPr>
                <w:rFonts w:hint="eastAsia" w:ascii="仿宋_GB2312" w:hAnsi="仿宋_GB2312" w:eastAsia="仿宋_GB2312" w:cs="仿宋_GB2312"/>
              </w:rPr>
            </w:pPr>
          </w:p>
          <w:p w14:paraId="11114D63">
            <w:pPr>
              <w:pStyle w:val="15"/>
              <w:spacing w:line="258" w:lineRule="auto"/>
              <w:rPr>
                <w:rFonts w:hint="eastAsia" w:ascii="仿宋_GB2312" w:hAnsi="仿宋_GB2312" w:eastAsia="仿宋_GB2312" w:cs="仿宋_GB2312"/>
              </w:rPr>
            </w:pPr>
          </w:p>
          <w:p w14:paraId="6E6682F6">
            <w:pPr>
              <w:spacing w:before="71" w:line="270" w:lineRule="auto"/>
              <w:ind w:left="114" w:right="217" w:firstLine="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公司制度文</w:t>
            </w:r>
            <w:r>
              <w:rPr>
                <w:rFonts w:hint="eastAsia" w:ascii="仿宋_GB2312" w:hAnsi="仿宋_GB2312" w:eastAsia="仿宋_GB2312" w:cs="仿宋_GB2312"/>
                <w:spacing w:val="-1"/>
                <w:sz w:val="22"/>
                <w:szCs w:val="22"/>
              </w:rPr>
              <w:t>件（100）</w:t>
            </w:r>
          </w:p>
        </w:tc>
        <w:tc>
          <w:tcPr>
            <w:tcW w:w="1349" w:type="dxa"/>
            <w:vAlign w:val="top"/>
          </w:tcPr>
          <w:p w14:paraId="2B9CCBED">
            <w:pPr>
              <w:spacing w:before="201" w:line="219" w:lineRule="auto"/>
              <w:ind w:left="123"/>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审核依据</w:t>
            </w:r>
          </w:p>
        </w:tc>
        <w:tc>
          <w:tcPr>
            <w:tcW w:w="2430" w:type="dxa"/>
            <w:vAlign w:val="top"/>
          </w:tcPr>
          <w:p w14:paraId="20F3975A">
            <w:pPr>
              <w:spacing w:before="201" w:line="220"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法律法规掌握程度</w:t>
            </w:r>
          </w:p>
        </w:tc>
        <w:tc>
          <w:tcPr>
            <w:tcW w:w="872" w:type="dxa"/>
            <w:vAlign w:val="top"/>
          </w:tcPr>
          <w:p w14:paraId="2C46679D">
            <w:pPr>
              <w:spacing w:before="201"/>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1EAE8CC1">
            <w:pPr>
              <w:pStyle w:val="15"/>
              <w:rPr>
                <w:rFonts w:hint="eastAsia" w:ascii="仿宋_GB2312" w:hAnsi="仿宋_GB2312" w:eastAsia="仿宋_GB2312" w:cs="仿宋_GB2312"/>
              </w:rPr>
            </w:pPr>
          </w:p>
        </w:tc>
        <w:tc>
          <w:tcPr>
            <w:tcW w:w="590" w:type="dxa"/>
            <w:vAlign w:val="top"/>
          </w:tcPr>
          <w:p w14:paraId="43552B33">
            <w:pPr>
              <w:pStyle w:val="15"/>
              <w:rPr>
                <w:rFonts w:hint="eastAsia" w:ascii="仿宋_GB2312" w:hAnsi="仿宋_GB2312" w:eastAsia="仿宋_GB2312" w:cs="仿宋_GB2312"/>
              </w:rPr>
            </w:pPr>
          </w:p>
        </w:tc>
        <w:tc>
          <w:tcPr>
            <w:tcW w:w="590" w:type="dxa"/>
            <w:vAlign w:val="top"/>
          </w:tcPr>
          <w:p w14:paraId="7D037940">
            <w:pPr>
              <w:pStyle w:val="15"/>
              <w:rPr>
                <w:rFonts w:hint="eastAsia" w:ascii="仿宋_GB2312" w:hAnsi="仿宋_GB2312" w:eastAsia="仿宋_GB2312" w:cs="仿宋_GB2312"/>
              </w:rPr>
            </w:pPr>
          </w:p>
        </w:tc>
        <w:tc>
          <w:tcPr>
            <w:tcW w:w="731" w:type="dxa"/>
            <w:vAlign w:val="top"/>
          </w:tcPr>
          <w:p w14:paraId="4277E55F">
            <w:pPr>
              <w:pStyle w:val="15"/>
              <w:rPr>
                <w:rFonts w:hint="eastAsia" w:ascii="仿宋_GB2312" w:hAnsi="仿宋_GB2312" w:eastAsia="仿宋_GB2312" w:cs="仿宋_GB2312"/>
              </w:rPr>
            </w:pPr>
          </w:p>
        </w:tc>
        <w:tc>
          <w:tcPr>
            <w:tcW w:w="596" w:type="dxa"/>
            <w:tcBorders>
              <w:right w:val="single" w:color="auto" w:sz="4" w:space="0"/>
            </w:tcBorders>
            <w:vAlign w:val="top"/>
          </w:tcPr>
          <w:p w14:paraId="2DB20251">
            <w:pPr>
              <w:pStyle w:val="15"/>
              <w:rPr>
                <w:rFonts w:hint="eastAsia" w:ascii="仿宋_GB2312" w:hAnsi="仿宋_GB2312" w:eastAsia="仿宋_GB2312" w:cs="仿宋_GB2312"/>
              </w:rPr>
            </w:pPr>
          </w:p>
        </w:tc>
      </w:tr>
      <w:tr w14:paraId="1D0B96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left w:val="single" w:color="auto" w:sz="4" w:space="0"/>
              <w:bottom w:val="nil"/>
            </w:tcBorders>
            <w:vAlign w:val="top"/>
          </w:tcPr>
          <w:p w14:paraId="0FE4E2FA">
            <w:pPr>
              <w:pStyle w:val="15"/>
              <w:rPr>
                <w:rFonts w:hint="eastAsia" w:ascii="仿宋_GB2312" w:hAnsi="仿宋_GB2312" w:eastAsia="仿宋_GB2312" w:cs="仿宋_GB2312"/>
              </w:rPr>
            </w:pPr>
          </w:p>
        </w:tc>
        <w:tc>
          <w:tcPr>
            <w:tcW w:w="1349" w:type="dxa"/>
            <w:vMerge w:val="restart"/>
            <w:tcBorders>
              <w:bottom w:val="nil"/>
            </w:tcBorders>
            <w:vAlign w:val="top"/>
          </w:tcPr>
          <w:p w14:paraId="1A57629A">
            <w:pPr>
              <w:pStyle w:val="15"/>
              <w:spacing w:line="252" w:lineRule="auto"/>
              <w:rPr>
                <w:rFonts w:hint="eastAsia" w:ascii="仿宋_GB2312" w:hAnsi="仿宋_GB2312" w:eastAsia="仿宋_GB2312" w:cs="仿宋_GB2312"/>
              </w:rPr>
            </w:pPr>
          </w:p>
          <w:p w14:paraId="2A760E5B">
            <w:pPr>
              <w:pStyle w:val="15"/>
              <w:spacing w:line="253" w:lineRule="auto"/>
              <w:rPr>
                <w:rFonts w:hint="eastAsia" w:ascii="仿宋_GB2312" w:hAnsi="仿宋_GB2312" w:eastAsia="仿宋_GB2312" w:cs="仿宋_GB2312"/>
              </w:rPr>
            </w:pPr>
          </w:p>
          <w:p w14:paraId="181FBCE8">
            <w:pPr>
              <w:pStyle w:val="15"/>
              <w:spacing w:line="253" w:lineRule="auto"/>
              <w:rPr>
                <w:rFonts w:hint="eastAsia" w:ascii="仿宋_GB2312" w:hAnsi="仿宋_GB2312" w:eastAsia="仿宋_GB2312" w:cs="仿宋_GB2312"/>
              </w:rPr>
            </w:pPr>
          </w:p>
          <w:p w14:paraId="21B31989">
            <w:pPr>
              <w:spacing w:before="71" w:line="220" w:lineRule="auto"/>
              <w:ind w:left="123"/>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审核内容</w:t>
            </w:r>
          </w:p>
        </w:tc>
        <w:tc>
          <w:tcPr>
            <w:tcW w:w="2430" w:type="dxa"/>
            <w:vAlign w:val="top"/>
          </w:tcPr>
          <w:p w14:paraId="199BD0BB">
            <w:pPr>
              <w:spacing w:before="200" w:line="222"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合法合规性</w:t>
            </w:r>
          </w:p>
        </w:tc>
        <w:tc>
          <w:tcPr>
            <w:tcW w:w="872" w:type="dxa"/>
            <w:vAlign w:val="top"/>
          </w:tcPr>
          <w:p w14:paraId="7B0F6C3F">
            <w:pPr>
              <w:spacing w:before="201"/>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vAlign w:val="top"/>
          </w:tcPr>
          <w:p w14:paraId="17B669C7">
            <w:pPr>
              <w:pStyle w:val="15"/>
              <w:rPr>
                <w:rFonts w:hint="eastAsia" w:ascii="仿宋_GB2312" w:hAnsi="仿宋_GB2312" w:eastAsia="仿宋_GB2312" w:cs="仿宋_GB2312"/>
              </w:rPr>
            </w:pPr>
          </w:p>
        </w:tc>
        <w:tc>
          <w:tcPr>
            <w:tcW w:w="590" w:type="dxa"/>
            <w:vAlign w:val="top"/>
          </w:tcPr>
          <w:p w14:paraId="0AC3715A">
            <w:pPr>
              <w:pStyle w:val="15"/>
              <w:rPr>
                <w:rFonts w:hint="eastAsia" w:ascii="仿宋_GB2312" w:hAnsi="仿宋_GB2312" w:eastAsia="仿宋_GB2312" w:cs="仿宋_GB2312"/>
              </w:rPr>
            </w:pPr>
          </w:p>
        </w:tc>
        <w:tc>
          <w:tcPr>
            <w:tcW w:w="590" w:type="dxa"/>
            <w:vAlign w:val="top"/>
          </w:tcPr>
          <w:p w14:paraId="25BA0B3E">
            <w:pPr>
              <w:pStyle w:val="15"/>
              <w:rPr>
                <w:rFonts w:hint="eastAsia" w:ascii="仿宋_GB2312" w:hAnsi="仿宋_GB2312" w:eastAsia="仿宋_GB2312" w:cs="仿宋_GB2312"/>
              </w:rPr>
            </w:pPr>
          </w:p>
        </w:tc>
        <w:tc>
          <w:tcPr>
            <w:tcW w:w="731" w:type="dxa"/>
            <w:vAlign w:val="top"/>
          </w:tcPr>
          <w:p w14:paraId="6905E901">
            <w:pPr>
              <w:pStyle w:val="15"/>
              <w:rPr>
                <w:rFonts w:hint="eastAsia" w:ascii="仿宋_GB2312" w:hAnsi="仿宋_GB2312" w:eastAsia="仿宋_GB2312" w:cs="仿宋_GB2312"/>
              </w:rPr>
            </w:pPr>
          </w:p>
        </w:tc>
        <w:tc>
          <w:tcPr>
            <w:tcW w:w="596" w:type="dxa"/>
            <w:tcBorders>
              <w:right w:val="single" w:color="auto" w:sz="4" w:space="0"/>
            </w:tcBorders>
            <w:vAlign w:val="top"/>
          </w:tcPr>
          <w:p w14:paraId="73DBA9CD">
            <w:pPr>
              <w:pStyle w:val="15"/>
              <w:rPr>
                <w:rFonts w:hint="eastAsia" w:ascii="仿宋_GB2312" w:hAnsi="仿宋_GB2312" w:eastAsia="仿宋_GB2312" w:cs="仿宋_GB2312"/>
              </w:rPr>
            </w:pPr>
          </w:p>
        </w:tc>
      </w:tr>
      <w:tr w14:paraId="4611D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left w:val="single" w:color="auto" w:sz="4" w:space="0"/>
              <w:bottom w:val="single" w:color="auto" w:sz="4" w:space="0"/>
            </w:tcBorders>
            <w:vAlign w:val="top"/>
          </w:tcPr>
          <w:p w14:paraId="75C7613C">
            <w:pPr>
              <w:pStyle w:val="15"/>
              <w:rPr>
                <w:rFonts w:hint="eastAsia" w:ascii="仿宋_GB2312" w:hAnsi="仿宋_GB2312" w:eastAsia="仿宋_GB2312" w:cs="仿宋_GB2312"/>
              </w:rPr>
            </w:pPr>
          </w:p>
        </w:tc>
        <w:tc>
          <w:tcPr>
            <w:tcW w:w="1349" w:type="dxa"/>
            <w:vMerge w:val="continue"/>
            <w:tcBorders>
              <w:top w:val="nil"/>
              <w:bottom w:val="single" w:color="auto" w:sz="4" w:space="0"/>
            </w:tcBorders>
            <w:vAlign w:val="top"/>
          </w:tcPr>
          <w:p w14:paraId="57A1E452">
            <w:pPr>
              <w:pStyle w:val="15"/>
              <w:rPr>
                <w:rFonts w:hint="eastAsia" w:ascii="仿宋_GB2312" w:hAnsi="仿宋_GB2312" w:eastAsia="仿宋_GB2312" w:cs="仿宋_GB2312"/>
              </w:rPr>
            </w:pPr>
          </w:p>
        </w:tc>
        <w:tc>
          <w:tcPr>
            <w:tcW w:w="2430" w:type="dxa"/>
            <w:tcBorders>
              <w:bottom w:val="single" w:color="auto" w:sz="4" w:space="0"/>
            </w:tcBorders>
            <w:vAlign w:val="top"/>
          </w:tcPr>
          <w:p w14:paraId="2B3C5E3F">
            <w:pPr>
              <w:spacing w:before="200" w:line="221"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协调性</w:t>
            </w:r>
          </w:p>
        </w:tc>
        <w:tc>
          <w:tcPr>
            <w:tcW w:w="872" w:type="dxa"/>
            <w:tcBorders>
              <w:bottom w:val="single" w:color="auto" w:sz="4" w:space="0"/>
            </w:tcBorders>
            <w:vAlign w:val="top"/>
          </w:tcPr>
          <w:p w14:paraId="7B82FB6C">
            <w:pPr>
              <w:spacing w:before="200"/>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tcBorders>
              <w:bottom w:val="single" w:color="auto" w:sz="4" w:space="0"/>
            </w:tcBorders>
            <w:vAlign w:val="top"/>
          </w:tcPr>
          <w:p w14:paraId="5890F09C">
            <w:pPr>
              <w:pStyle w:val="15"/>
              <w:rPr>
                <w:rFonts w:hint="eastAsia" w:ascii="仿宋_GB2312" w:hAnsi="仿宋_GB2312" w:eastAsia="仿宋_GB2312" w:cs="仿宋_GB2312"/>
              </w:rPr>
            </w:pPr>
          </w:p>
        </w:tc>
        <w:tc>
          <w:tcPr>
            <w:tcW w:w="590" w:type="dxa"/>
            <w:tcBorders>
              <w:bottom w:val="single" w:color="auto" w:sz="4" w:space="0"/>
            </w:tcBorders>
            <w:vAlign w:val="top"/>
          </w:tcPr>
          <w:p w14:paraId="166B24BD">
            <w:pPr>
              <w:pStyle w:val="15"/>
              <w:rPr>
                <w:rFonts w:hint="eastAsia" w:ascii="仿宋_GB2312" w:hAnsi="仿宋_GB2312" w:eastAsia="仿宋_GB2312" w:cs="仿宋_GB2312"/>
              </w:rPr>
            </w:pPr>
          </w:p>
        </w:tc>
        <w:tc>
          <w:tcPr>
            <w:tcW w:w="590" w:type="dxa"/>
            <w:tcBorders>
              <w:bottom w:val="single" w:color="auto" w:sz="4" w:space="0"/>
            </w:tcBorders>
            <w:vAlign w:val="top"/>
          </w:tcPr>
          <w:p w14:paraId="6E8DD310">
            <w:pPr>
              <w:pStyle w:val="15"/>
              <w:rPr>
                <w:rFonts w:hint="eastAsia" w:ascii="仿宋_GB2312" w:hAnsi="仿宋_GB2312" w:eastAsia="仿宋_GB2312" w:cs="仿宋_GB2312"/>
              </w:rPr>
            </w:pPr>
          </w:p>
        </w:tc>
        <w:tc>
          <w:tcPr>
            <w:tcW w:w="731" w:type="dxa"/>
            <w:tcBorders>
              <w:bottom w:val="single" w:color="auto" w:sz="4" w:space="0"/>
            </w:tcBorders>
            <w:vAlign w:val="top"/>
          </w:tcPr>
          <w:p w14:paraId="436AE221">
            <w:pPr>
              <w:pStyle w:val="15"/>
              <w:rPr>
                <w:rFonts w:hint="eastAsia" w:ascii="仿宋_GB2312" w:hAnsi="仿宋_GB2312" w:eastAsia="仿宋_GB2312" w:cs="仿宋_GB2312"/>
              </w:rPr>
            </w:pPr>
          </w:p>
        </w:tc>
        <w:tc>
          <w:tcPr>
            <w:tcW w:w="596" w:type="dxa"/>
            <w:tcBorders>
              <w:bottom w:val="single" w:color="auto" w:sz="4" w:space="0"/>
              <w:right w:val="single" w:color="auto" w:sz="4" w:space="0"/>
            </w:tcBorders>
            <w:vAlign w:val="top"/>
          </w:tcPr>
          <w:p w14:paraId="05A2D31E">
            <w:pPr>
              <w:pStyle w:val="15"/>
              <w:rPr>
                <w:rFonts w:hint="eastAsia" w:ascii="仿宋_GB2312" w:hAnsi="仿宋_GB2312" w:eastAsia="仿宋_GB2312" w:cs="仿宋_GB2312"/>
              </w:rPr>
            </w:pPr>
          </w:p>
        </w:tc>
      </w:tr>
      <w:tr w14:paraId="3C026B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single" w:color="auto" w:sz="4" w:space="0"/>
              <w:left w:val="single" w:color="auto" w:sz="4" w:space="0"/>
              <w:bottom w:val="nil"/>
            </w:tcBorders>
            <w:vAlign w:val="top"/>
          </w:tcPr>
          <w:p w14:paraId="57612D1D">
            <w:pPr>
              <w:pStyle w:val="15"/>
              <w:rPr>
                <w:rFonts w:hint="eastAsia" w:ascii="仿宋_GB2312" w:hAnsi="仿宋_GB2312" w:eastAsia="仿宋_GB2312" w:cs="仿宋_GB2312"/>
              </w:rPr>
            </w:pPr>
          </w:p>
        </w:tc>
        <w:tc>
          <w:tcPr>
            <w:tcW w:w="1349" w:type="dxa"/>
            <w:vMerge w:val="continue"/>
            <w:tcBorders>
              <w:top w:val="single" w:color="auto" w:sz="4" w:space="0"/>
            </w:tcBorders>
            <w:vAlign w:val="top"/>
          </w:tcPr>
          <w:p w14:paraId="33BD1539">
            <w:pPr>
              <w:pStyle w:val="15"/>
              <w:rPr>
                <w:rFonts w:hint="eastAsia" w:ascii="仿宋_GB2312" w:hAnsi="仿宋_GB2312" w:eastAsia="仿宋_GB2312" w:cs="仿宋_GB2312"/>
              </w:rPr>
            </w:pPr>
          </w:p>
        </w:tc>
        <w:tc>
          <w:tcPr>
            <w:tcW w:w="2430" w:type="dxa"/>
            <w:tcBorders>
              <w:top w:val="single" w:color="auto" w:sz="4" w:space="0"/>
            </w:tcBorders>
            <w:vAlign w:val="top"/>
          </w:tcPr>
          <w:p w14:paraId="4358DAA1">
            <w:pPr>
              <w:spacing w:before="200" w:line="220"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可操作性</w:t>
            </w:r>
          </w:p>
        </w:tc>
        <w:tc>
          <w:tcPr>
            <w:tcW w:w="872" w:type="dxa"/>
            <w:tcBorders>
              <w:top w:val="single" w:color="auto" w:sz="4" w:space="0"/>
            </w:tcBorders>
            <w:vAlign w:val="top"/>
          </w:tcPr>
          <w:p w14:paraId="2D42CE57">
            <w:pPr>
              <w:spacing w:before="200"/>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tcBorders>
              <w:top w:val="single" w:color="auto" w:sz="4" w:space="0"/>
            </w:tcBorders>
            <w:vAlign w:val="top"/>
          </w:tcPr>
          <w:p w14:paraId="6D95F19E">
            <w:pPr>
              <w:pStyle w:val="15"/>
              <w:rPr>
                <w:rFonts w:hint="eastAsia" w:ascii="仿宋_GB2312" w:hAnsi="仿宋_GB2312" w:eastAsia="仿宋_GB2312" w:cs="仿宋_GB2312"/>
              </w:rPr>
            </w:pPr>
          </w:p>
        </w:tc>
        <w:tc>
          <w:tcPr>
            <w:tcW w:w="590" w:type="dxa"/>
            <w:tcBorders>
              <w:top w:val="single" w:color="auto" w:sz="4" w:space="0"/>
            </w:tcBorders>
            <w:vAlign w:val="top"/>
          </w:tcPr>
          <w:p w14:paraId="221FD1DC">
            <w:pPr>
              <w:pStyle w:val="15"/>
              <w:rPr>
                <w:rFonts w:hint="eastAsia" w:ascii="仿宋_GB2312" w:hAnsi="仿宋_GB2312" w:eastAsia="仿宋_GB2312" w:cs="仿宋_GB2312"/>
              </w:rPr>
            </w:pPr>
          </w:p>
        </w:tc>
        <w:tc>
          <w:tcPr>
            <w:tcW w:w="590" w:type="dxa"/>
            <w:tcBorders>
              <w:top w:val="single" w:color="auto" w:sz="4" w:space="0"/>
            </w:tcBorders>
            <w:vAlign w:val="top"/>
          </w:tcPr>
          <w:p w14:paraId="020DA591">
            <w:pPr>
              <w:pStyle w:val="15"/>
              <w:rPr>
                <w:rFonts w:hint="eastAsia" w:ascii="仿宋_GB2312" w:hAnsi="仿宋_GB2312" w:eastAsia="仿宋_GB2312" w:cs="仿宋_GB2312"/>
              </w:rPr>
            </w:pPr>
          </w:p>
        </w:tc>
        <w:tc>
          <w:tcPr>
            <w:tcW w:w="731" w:type="dxa"/>
            <w:tcBorders>
              <w:top w:val="single" w:color="auto" w:sz="4" w:space="0"/>
            </w:tcBorders>
            <w:vAlign w:val="top"/>
          </w:tcPr>
          <w:p w14:paraId="39356EE4">
            <w:pPr>
              <w:pStyle w:val="15"/>
              <w:rPr>
                <w:rFonts w:hint="eastAsia" w:ascii="仿宋_GB2312" w:hAnsi="仿宋_GB2312" w:eastAsia="仿宋_GB2312" w:cs="仿宋_GB2312"/>
              </w:rPr>
            </w:pPr>
          </w:p>
        </w:tc>
        <w:tc>
          <w:tcPr>
            <w:tcW w:w="596" w:type="dxa"/>
            <w:tcBorders>
              <w:top w:val="single" w:color="auto" w:sz="4" w:space="0"/>
            </w:tcBorders>
            <w:vAlign w:val="top"/>
          </w:tcPr>
          <w:p w14:paraId="6DD554B6">
            <w:pPr>
              <w:pStyle w:val="15"/>
              <w:rPr>
                <w:rFonts w:hint="eastAsia" w:ascii="仿宋_GB2312" w:hAnsi="仿宋_GB2312" w:eastAsia="仿宋_GB2312" w:cs="仿宋_GB2312"/>
              </w:rPr>
            </w:pPr>
          </w:p>
        </w:tc>
      </w:tr>
      <w:tr w14:paraId="11A5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left w:val="single" w:color="auto" w:sz="4" w:space="0"/>
              <w:bottom w:val="nil"/>
            </w:tcBorders>
            <w:vAlign w:val="top"/>
          </w:tcPr>
          <w:p w14:paraId="34507E0C">
            <w:pPr>
              <w:pStyle w:val="15"/>
              <w:rPr>
                <w:rFonts w:hint="eastAsia" w:ascii="仿宋_GB2312" w:hAnsi="仿宋_GB2312" w:eastAsia="仿宋_GB2312" w:cs="仿宋_GB2312"/>
              </w:rPr>
            </w:pPr>
          </w:p>
        </w:tc>
        <w:tc>
          <w:tcPr>
            <w:tcW w:w="1349" w:type="dxa"/>
            <w:vMerge w:val="restart"/>
            <w:tcBorders>
              <w:bottom w:val="nil"/>
            </w:tcBorders>
            <w:vAlign w:val="top"/>
          </w:tcPr>
          <w:p w14:paraId="50C3EFC5">
            <w:pPr>
              <w:pStyle w:val="15"/>
              <w:spacing w:line="444" w:lineRule="auto"/>
              <w:rPr>
                <w:rFonts w:hint="eastAsia" w:ascii="仿宋_GB2312" w:hAnsi="仿宋_GB2312" w:eastAsia="仿宋_GB2312" w:cs="仿宋_GB2312"/>
              </w:rPr>
            </w:pPr>
          </w:p>
          <w:p w14:paraId="37365E46">
            <w:pPr>
              <w:spacing w:before="71" w:line="221"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关注风险点</w:t>
            </w:r>
          </w:p>
        </w:tc>
        <w:tc>
          <w:tcPr>
            <w:tcW w:w="2430" w:type="dxa"/>
            <w:vAlign w:val="top"/>
          </w:tcPr>
          <w:p w14:paraId="734AA8DD">
            <w:pPr>
              <w:spacing w:before="202" w:line="220"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法律风险</w:t>
            </w:r>
          </w:p>
        </w:tc>
        <w:tc>
          <w:tcPr>
            <w:tcW w:w="872" w:type="dxa"/>
            <w:vAlign w:val="top"/>
          </w:tcPr>
          <w:p w14:paraId="09BB01AE">
            <w:pPr>
              <w:spacing w:before="202"/>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vAlign w:val="top"/>
          </w:tcPr>
          <w:p w14:paraId="3C49ECE5">
            <w:pPr>
              <w:pStyle w:val="15"/>
              <w:rPr>
                <w:rFonts w:hint="eastAsia" w:ascii="仿宋_GB2312" w:hAnsi="仿宋_GB2312" w:eastAsia="仿宋_GB2312" w:cs="仿宋_GB2312"/>
              </w:rPr>
            </w:pPr>
          </w:p>
        </w:tc>
        <w:tc>
          <w:tcPr>
            <w:tcW w:w="590" w:type="dxa"/>
            <w:vAlign w:val="top"/>
          </w:tcPr>
          <w:p w14:paraId="585EEF90">
            <w:pPr>
              <w:pStyle w:val="15"/>
              <w:rPr>
                <w:rFonts w:hint="eastAsia" w:ascii="仿宋_GB2312" w:hAnsi="仿宋_GB2312" w:eastAsia="仿宋_GB2312" w:cs="仿宋_GB2312"/>
              </w:rPr>
            </w:pPr>
          </w:p>
        </w:tc>
        <w:tc>
          <w:tcPr>
            <w:tcW w:w="590" w:type="dxa"/>
            <w:vAlign w:val="top"/>
          </w:tcPr>
          <w:p w14:paraId="25993269">
            <w:pPr>
              <w:pStyle w:val="15"/>
              <w:rPr>
                <w:rFonts w:hint="eastAsia" w:ascii="仿宋_GB2312" w:hAnsi="仿宋_GB2312" w:eastAsia="仿宋_GB2312" w:cs="仿宋_GB2312"/>
              </w:rPr>
            </w:pPr>
          </w:p>
        </w:tc>
        <w:tc>
          <w:tcPr>
            <w:tcW w:w="731" w:type="dxa"/>
            <w:vAlign w:val="top"/>
          </w:tcPr>
          <w:p w14:paraId="4462EEE4">
            <w:pPr>
              <w:pStyle w:val="15"/>
              <w:rPr>
                <w:rFonts w:hint="eastAsia" w:ascii="仿宋_GB2312" w:hAnsi="仿宋_GB2312" w:eastAsia="仿宋_GB2312" w:cs="仿宋_GB2312"/>
              </w:rPr>
            </w:pPr>
          </w:p>
        </w:tc>
        <w:tc>
          <w:tcPr>
            <w:tcW w:w="596" w:type="dxa"/>
            <w:vAlign w:val="top"/>
          </w:tcPr>
          <w:p w14:paraId="41CBCCBE">
            <w:pPr>
              <w:pStyle w:val="15"/>
              <w:rPr>
                <w:rFonts w:hint="eastAsia" w:ascii="仿宋_GB2312" w:hAnsi="仿宋_GB2312" w:eastAsia="仿宋_GB2312" w:cs="仿宋_GB2312"/>
              </w:rPr>
            </w:pPr>
          </w:p>
        </w:tc>
      </w:tr>
      <w:tr w14:paraId="732DA7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left w:val="single" w:color="auto" w:sz="4" w:space="0"/>
            </w:tcBorders>
            <w:vAlign w:val="top"/>
          </w:tcPr>
          <w:p w14:paraId="2E211C2D">
            <w:pPr>
              <w:pStyle w:val="15"/>
              <w:rPr>
                <w:rFonts w:hint="eastAsia" w:ascii="仿宋_GB2312" w:hAnsi="仿宋_GB2312" w:eastAsia="仿宋_GB2312" w:cs="仿宋_GB2312"/>
              </w:rPr>
            </w:pPr>
          </w:p>
        </w:tc>
        <w:tc>
          <w:tcPr>
            <w:tcW w:w="1349" w:type="dxa"/>
            <w:vMerge w:val="continue"/>
            <w:tcBorders>
              <w:top w:val="nil"/>
            </w:tcBorders>
            <w:vAlign w:val="top"/>
          </w:tcPr>
          <w:p w14:paraId="4478D773">
            <w:pPr>
              <w:pStyle w:val="15"/>
              <w:rPr>
                <w:rFonts w:hint="eastAsia" w:ascii="仿宋_GB2312" w:hAnsi="仿宋_GB2312" w:eastAsia="仿宋_GB2312" w:cs="仿宋_GB2312"/>
              </w:rPr>
            </w:pPr>
          </w:p>
        </w:tc>
        <w:tc>
          <w:tcPr>
            <w:tcW w:w="2430" w:type="dxa"/>
            <w:vAlign w:val="top"/>
          </w:tcPr>
          <w:p w14:paraId="686990C2">
            <w:pPr>
              <w:spacing w:before="201" w:line="220" w:lineRule="auto"/>
              <w:ind w:left="11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执行风险</w:t>
            </w:r>
          </w:p>
        </w:tc>
        <w:tc>
          <w:tcPr>
            <w:tcW w:w="872" w:type="dxa"/>
            <w:vAlign w:val="top"/>
          </w:tcPr>
          <w:p w14:paraId="7F20D2A3">
            <w:pPr>
              <w:spacing w:before="201"/>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vAlign w:val="top"/>
          </w:tcPr>
          <w:p w14:paraId="5D02C81D">
            <w:pPr>
              <w:pStyle w:val="15"/>
              <w:rPr>
                <w:rFonts w:hint="eastAsia" w:ascii="仿宋_GB2312" w:hAnsi="仿宋_GB2312" w:eastAsia="仿宋_GB2312" w:cs="仿宋_GB2312"/>
              </w:rPr>
            </w:pPr>
          </w:p>
        </w:tc>
        <w:tc>
          <w:tcPr>
            <w:tcW w:w="590" w:type="dxa"/>
            <w:vAlign w:val="top"/>
          </w:tcPr>
          <w:p w14:paraId="0E8046FF">
            <w:pPr>
              <w:pStyle w:val="15"/>
              <w:rPr>
                <w:rFonts w:hint="eastAsia" w:ascii="仿宋_GB2312" w:hAnsi="仿宋_GB2312" w:eastAsia="仿宋_GB2312" w:cs="仿宋_GB2312"/>
              </w:rPr>
            </w:pPr>
          </w:p>
        </w:tc>
        <w:tc>
          <w:tcPr>
            <w:tcW w:w="590" w:type="dxa"/>
            <w:vAlign w:val="top"/>
          </w:tcPr>
          <w:p w14:paraId="38372746">
            <w:pPr>
              <w:pStyle w:val="15"/>
              <w:rPr>
                <w:rFonts w:hint="eastAsia" w:ascii="仿宋_GB2312" w:hAnsi="仿宋_GB2312" w:eastAsia="仿宋_GB2312" w:cs="仿宋_GB2312"/>
              </w:rPr>
            </w:pPr>
          </w:p>
        </w:tc>
        <w:tc>
          <w:tcPr>
            <w:tcW w:w="731" w:type="dxa"/>
            <w:vAlign w:val="top"/>
          </w:tcPr>
          <w:p w14:paraId="17020DAE">
            <w:pPr>
              <w:pStyle w:val="15"/>
              <w:rPr>
                <w:rFonts w:hint="eastAsia" w:ascii="仿宋_GB2312" w:hAnsi="仿宋_GB2312" w:eastAsia="仿宋_GB2312" w:cs="仿宋_GB2312"/>
              </w:rPr>
            </w:pPr>
          </w:p>
        </w:tc>
        <w:tc>
          <w:tcPr>
            <w:tcW w:w="596" w:type="dxa"/>
            <w:vAlign w:val="top"/>
          </w:tcPr>
          <w:p w14:paraId="7E9141ED">
            <w:pPr>
              <w:pStyle w:val="15"/>
              <w:rPr>
                <w:rFonts w:hint="eastAsia" w:ascii="仿宋_GB2312" w:hAnsi="仿宋_GB2312" w:eastAsia="仿宋_GB2312" w:cs="仿宋_GB2312"/>
              </w:rPr>
            </w:pPr>
          </w:p>
        </w:tc>
      </w:tr>
      <w:tr w14:paraId="7A681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restart"/>
            <w:tcBorders>
              <w:bottom w:val="nil"/>
            </w:tcBorders>
            <w:vAlign w:val="top"/>
          </w:tcPr>
          <w:p w14:paraId="14794263">
            <w:pPr>
              <w:pStyle w:val="15"/>
              <w:spacing w:line="268" w:lineRule="auto"/>
              <w:rPr>
                <w:rFonts w:hint="eastAsia" w:ascii="仿宋_GB2312" w:hAnsi="仿宋_GB2312" w:eastAsia="仿宋_GB2312" w:cs="仿宋_GB2312"/>
              </w:rPr>
            </w:pPr>
          </w:p>
          <w:p w14:paraId="568CE53B">
            <w:pPr>
              <w:pStyle w:val="15"/>
              <w:spacing w:line="268" w:lineRule="auto"/>
              <w:rPr>
                <w:rFonts w:hint="eastAsia" w:ascii="仿宋_GB2312" w:hAnsi="仿宋_GB2312" w:eastAsia="仿宋_GB2312" w:cs="仿宋_GB2312"/>
              </w:rPr>
            </w:pPr>
          </w:p>
          <w:p w14:paraId="1675BA54">
            <w:pPr>
              <w:pStyle w:val="15"/>
              <w:spacing w:line="268" w:lineRule="auto"/>
              <w:rPr>
                <w:rFonts w:hint="eastAsia" w:ascii="仿宋_GB2312" w:hAnsi="仿宋_GB2312" w:eastAsia="仿宋_GB2312" w:cs="仿宋_GB2312"/>
              </w:rPr>
            </w:pPr>
          </w:p>
          <w:p w14:paraId="07A0F7D3">
            <w:pPr>
              <w:pStyle w:val="15"/>
              <w:spacing w:line="268" w:lineRule="auto"/>
              <w:rPr>
                <w:rFonts w:hint="eastAsia" w:ascii="仿宋_GB2312" w:hAnsi="仿宋_GB2312" w:eastAsia="仿宋_GB2312" w:cs="仿宋_GB2312"/>
              </w:rPr>
            </w:pPr>
          </w:p>
          <w:p w14:paraId="4369F388">
            <w:pPr>
              <w:spacing w:before="72" w:line="269" w:lineRule="auto"/>
              <w:ind w:left="116" w:right="107"/>
              <w:jc w:val="both"/>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专项委托服务事项（100</w:t>
            </w:r>
            <w:r>
              <w:rPr>
                <w:rFonts w:hint="eastAsia" w:ascii="仿宋_GB2312" w:hAnsi="仿宋_GB2312" w:eastAsia="仿宋_GB2312" w:cs="仿宋_GB2312"/>
                <w:spacing w:val="-6"/>
                <w:sz w:val="22"/>
                <w:szCs w:val="22"/>
              </w:rPr>
              <w:t>分）</w:t>
            </w:r>
          </w:p>
        </w:tc>
        <w:tc>
          <w:tcPr>
            <w:tcW w:w="1349" w:type="dxa"/>
            <w:vAlign w:val="top"/>
          </w:tcPr>
          <w:p w14:paraId="4E9FF53E">
            <w:pPr>
              <w:spacing w:before="201" w:line="219" w:lineRule="auto"/>
              <w:ind w:left="123"/>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审核依据</w:t>
            </w:r>
          </w:p>
        </w:tc>
        <w:tc>
          <w:tcPr>
            <w:tcW w:w="2430" w:type="dxa"/>
            <w:vAlign w:val="top"/>
          </w:tcPr>
          <w:p w14:paraId="4CB682FC">
            <w:pPr>
              <w:spacing w:before="201" w:line="220"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法律法规掌握程度</w:t>
            </w:r>
          </w:p>
        </w:tc>
        <w:tc>
          <w:tcPr>
            <w:tcW w:w="872" w:type="dxa"/>
            <w:vAlign w:val="top"/>
          </w:tcPr>
          <w:p w14:paraId="126FA85A">
            <w:pPr>
              <w:spacing w:before="201"/>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2EB65DE6">
            <w:pPr>
              <w:pStyle w:val="15"/>
              <w:rPr>
                <w:rFonts w:hint="eastAsia" w:ascii="仿宋_GB2312" w:hAnsi="仿宋_GB2312" w:eastAsia="仿宋_GB2312" w:cs="仿宋_GB2312"/>
              </w:rPr>
            </w:pPr>
          </w:p>
        </w:tc>
        <w:tc>
          <w:tcPr>
            <w:tcW w:w="590" w:type="dxa"/>
            <w:vAlign w:val="top"/>
          </w:tcPr>
          <w:p w14:paraId="035F9DB1">
            <w:pPr>
              <w:pStyle w:val="15"/>
              <w:rPr>
                <w:rFonts w:hint="eastAsia" w:ascii="仿宋_GB2312" w:hAnsi="仿宋_GB2312" w:eastAsia="仿宋_GB2312" w:cs="仿宋_GB2312"/>
              </w:rPr>
            </w:pPr>
          </w:p>
        </w:tc>
        <w:tc>
          <w:tcPr>
            <w:tcW w:w="590" w:type="dxa"/>
            <w:vAlign w:val="top"/>
          </w:tcPr>
          <w:p w14:paraId="436421EE">
            <w:pPr>
              <w:pStyle w:val="15"/>
              <w:rPr>
                <w:rFonts w:hint="eastAsia" w:ascii="仿宋_GB2312" w:hAnsi="仿宋_GB2312" w:eastAsia="仿宋_GB2312" w:cs="仿宋_GB2312"/>
              </w:rPr>
            </w:pPr>
          </w:p>
        </w:tc>
        <w:tc>
          <w:tcPr>
            <w:tcW w:w="731" w:type="dxa"/>
            <w:vAlign w:val="top"/>
          </w:tcPr>
          <w:p w14:paraId="033DC511">
            <w:pPr>
              <w:pStyle w:val="15"/>
              <w:rPr>
                <w:rFonts w:hint="eastAsia" w:ascii="仿宋_GB2312" w:hAnsi="仿宋_GB2312" w:eastAsia="仿宋_GB2312" w:cs="仿宋_GB2312"/>
              </w:rPr>
            </w:pPr>
          </w:p>
        </w:tc>
        <w:tc>
          <w:tcPr>
            <w:tcW w:w="596" w:type="dxa"/>
            <w:vAlign w:val="top"/>
          </w:tcPr>
          <w:p w14:paraId="6E92C3ED">
            <w:pPr>
              <w:pStyle w:val="15"/>
              <w:rPr>
                <w:rFonts w:hint="eastAsia" w:ascii="仿宋_GB2312" w:hAnsi="仿宋_GB2312" w:eastAsia="仿宋_GB2312" w:cs="仿宋_GB2312"/>
              </w:rPr>
            </w:pPr>
          </w:p>
        </w:tc>
      </w:tr>
      <w:tr w14:paraId="226B7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bottom w:val="nil"/>
            </w:tcBorders>
            <w:vAlign w:val="top"/>
          </w:tcPr>
          <w:p w14:paraId="292B290B">
            <w:pPr>
              <w:pStyle w:val="15"/>
              <w:rPr>
                <w:rFonts w:hint="eastAsia" w:ascii="仿宋_GB2312" w:hAnsi="仿宋_GB2312" w:eastAsia="仿宋_GB2312" w:cs="仿宋_GB2312"/>
              </w:rPr>
            </w:pPr>
          </w:p>
        </w:tc>
        <w:tc>
          <w:tcPr>
            <w:tcW w:w="1349" w:type="dxa"/>
            <w:vMerge w:val="restart"/>
            <w:tcBorders>
              <w:bottom w:val="nil"/>
            </w:tcBorders>
            <w:vAlign w:val="top"/>
          </w:tcPr>
          <w:p w14:paraId="446C521F">
            <w:pPr>
              <w:pStyle w:val="15"/>
              <w:spacing w:line="443" w:lineRule="auto"/>
              <w:rPr>
                <w:rFonts w:hint="eastAsia" w:ascii="仿宋_GB2312" w:hAnsi="仿宋_GB2312" w:eastAsia="仿宋_GB2312" w:cs="仿宋_GB2312"/>
              </w:rPr>
            </w:pPr>
          </w:p>
          <w:p w14:paraId="1237A007">
            <w:pPr>
              <w:spacing w:before="71" w:line="220" w:lineRule="auto"/>
              <w:ind w:left="123"/>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审核内容</w:t>
            </w:r>
          </w:p>
        </w:tc>
        <w:tc>
          <w:tcPr>
            <w:tcW w:w="2430" w:type="dxa"/>
            <w:vAlign w:val="top"/>
          </w:tcPr>
          <w:p w14:paraId="5E499D50">
            <w:pPr>
              <w:spacing w:before="200" w:line="222"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合法合规性</w:t>
            </w:r>
          </w:p>
        </w:tc>
        <w:tc>
          <w:tcPr>
            <w:tcW w:w="872" w:type="dxa"/>
            <w:vAlign w:val="top"/>
          </w:tcPr>
          <w:p w14:paraId="6279CD0B">
            <w:pPr>
              <w:spacing w:before="201"/>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vAlign w:val="top"/>
          </w:tcPr>
          <w:p w14:paraId="135676E6">
            <w:pPr>
              <w:pStyle w:val="15"/>
              <w:rPr>
                <w:rFonts w:hint="eastAsia" w:ascii="仿宋_GB2312" w:hAnsi="仿宋_GB2312" w:eastAsia="仿宋_GB2312" w:cs="仿宋_GB2312"/>
              </w:rPr>
            </w:pPr>
          </w:p>
        </w:tc>
        <w:tc>
          <w:tcPr>
            <w:tcW w:w="590" w:type="dxa"/>
            <w:vAlign w:val="top"/>
          </w:tcPr>
          <w:p w14:paraId="534D3B63">
            <w:pPr>
              <w:pStyle w:val="15"/>
              <w:rPr>
                <w:rFonts w:hint="eastAsia" w:ascii="仿宋_GB2312" w:hAnsi="仿宋_GB2312" w:eastAsia="仿宋_GB2312" w:cs="仿宋_GB2312"/>
              </w:rPr>
            </w:pPr>
          </w:p>
        </w:tc>
        <w:tc>
          <w:tcPr>
            <w:tcW w:w="590" w:type="dxa"/>
            <w:vAlign w:val="top"/>
          </w:tcPr>
          <w:p w14:paraId="30762BED">
            <w:pPr>
              <w:pStyle w:val="15"/>
              <w:rPr>
                <w:rFonts w:hint="eastAsia" w:ascii="仿宋_GB2312" w:hAnsi="仿宋_GB2312" w:eastAsia="仿宋_GB2312" w:cs="仿宋_GB2312"/>
              </w:rPr>
            </w:pPr>
          </w:p>
        </w:tc>
        <w:tc>
          <w:tcPr>
            <w:tcW w:w="731" w:type="dxa"/>
            <w:vAlign w:val="top"/>
          </w:tcPr>
          <w:p w14:paraId="527CEF2F">
            <w:pPr>
              <w:pStyle w:val="15"/>
              <w:rPr>
                <w:rFonts w:hint="eastAsia" w:ascii="仿宋_GB2312" w:hAnsi="仿宋_GB2312" w:eastAsia="仿宋_GB2312" w:cs="仿宋_GB2312"/>
              </w:rPr>
            </w:pPr>
          </w:p>
        </w:tc>
        <w:tc>
          <w:tcPr>
            <w:tcW w:w="596" w:type="dxa"/>
            <w:vAlign w:val="top"/>
          </w:tcPr>
          <w:p w14:paraId="12A81D31">
            <w:pPr>
              <w:pStyle w:val="15"/>
              <w:rPr>
                <w:rFonts w:hint="eastAsia" w:ascii="仿宋_GB2312" w:hAnsi="仿宋_GB2312" w:eastAsia="仿宋_GB2312" w:cs="仿宋_GB2312"/>
              </w:rPr>
            </w:pPr>
          </w:p>
        </w:tc>
      </w:tr>
      <w:tr w14:paraId="2C2418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32" w:type="dxa"/>
            <w:vMerge w:val="continue"/>
            <w:tcBorders>
              <w:top w:val="nil"/>
              <w:bottom w:val="nil"/>
            </w:tcBorders>
            <w:vAlign w:val="top"/>
          </w:tcPr>
          <w:p w14:paraId="0A28F683">
            <w:pPr>
              <w:pStyle w:val="15"/>
              <w:rPr>
                <w:rFonts w:hint="eastAsia" w:ascii="仿宋_GB2312" w:hAnsi="仿宋_GB2312" w:eastAsia="仿宋_GB2312" w:cs="仿宋_GB2312"/>
              </w:rPr>
            </w:pPr>
          </w:p>
        </w:tc>
        <w:tc>
          <w:tcPr>
            <w:tcW w:w="1349" w:type="dxa"/>
            <w:vMerge w:val="continue"/>
            <w:tcBorders>
              <w:top w:val="nil"/>
            </w:tcBorders>
            <w:vAlign w:val="top"/>
          </w:tcPr>
          <w:p w14:paraId="560A9C4F">
            <w:pPr>
              <w:pStyle w:val="15"/>
              <w:rPr>
                <w:rFonts w:hint="eastAsia" w:ascii="仿宋_GB2312" w:hAnsi="仿宋_GB2312" w:eastAsia="仿宋_GB2312" w:cs="仿宋_GB2312"/>
              </w:rPr>
            </w:pPr>
          </w:p>
        </w:tc>
        <w:tc>
          <w:tcPr>
            <w:tcW w:w="2430" w:type="dxa"/>
            <w:vAlign w:val="top"/>
          </w:tcPr>
          <w:p w14:paraId="311A851D">
            <w:pPr>
              <w:spacing w:before="200" w:line="220" w:lineRule="auto"/>
              <w:ind w:left="118"/>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具体情况完整性</w:t>
            </w:r>
          </w:p>
        </w:tc>
        <w:tc>
          <w:tcPr>
            <w:tcW w:w="872" w:type="dxa"/>
            <w:vAlign w:val="top"/>
          </w:tcPr>
          <w:p w14:paraId="0A8C8B18">
            <w:pPr>
              <w:spacing w:before="200"/>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vAlign w:val="top"/>
          </w:tcPr>
          <w:p w14:paraId="7BBC603C">
            <w:pPr>
              <w:pStyle w:val="15"/>
              <w:rPr>
                <w:rFonts w:hint="eastAsia" w:ascii="仿宋_GB2312" w:hAnsi="仿宋_GB2312" w:eastAsia="仿宋_GB2312" w:cs="仿宋_GB2312"/>
              </w:rPr>
            </w:pPr>
          </w:p>
        </w:tc>
        <w:tc>
          <w:tcPr>
            <w:tcW w:w="590" w:type="dxa"/>
            <w:vAlign w:val="top"/>
          </w:tcPr>
          <w:p w14:paraId="3A30D422">
            <w:pPr>
              <w:pStyle w:val="15"/>
              <w:rPr>
                <w:rFonts w:hint="eastAsia" w:ascii="仿宋_GB2312" w:hAnsi="仿宋_GB2312" w:eastAsia="仿宋_GB2312" w:cs="仿宋_GB2312"/>
              </w:rPr>
            </w:pPr>
          </w:p>
        </w:tc>
        <w:tc>
          <w:tcPr>
            <w:tcW w:w="590" w:type="dxa"/>
            <w:vAlign w:val="top"/>
          </w:tcPr>
          <w:p w14:paraId="7E12BF8A">
            <w:pPr>
              <w:pStyle w:val="15"/>
              <w:rPr>
                <w:rFonts w:hint="eastAsia" w:ascii="仿宋_GB2312" w:hAnsi="仿宋_GB2312" w:eastAsia="仿宋_GB2312" w:cs="仿宋_GB2312"/>
              </w:rPr>
            </w:pPr>
          </w:p>
        </w:tc>
        <w:tc>
          <w:tcPr>
            <w:tcW w:w="731" w:type="dxa"/>
            <w:vAlign w:val="top"/>
          </w:tcPr>
          <w:p w14:paraId="3203D3ED">
            <w:pPr>
              <w:pStyle w:val="15"/>
              <w:rPr>
                <w:rFonts w:hint="eastAsia" w:ascii="仿宋_GB2312" w:hAnsi="仿宋_GB2312" w:eastAsia="仿宋_GB2312" w:cs="仿宋_GB2312"/>
              </w:rPr>
            </w:pPr>
          </w:p>
        </w:tc>
        <w:tc>
          <w:tcPr>
            <w:tcW w:w="596" w:type="dxa"/>
            <w:vAlign w:val="top"/>
          </w:tcPr>
          <w:p w14:paraId="56CD6A15">
            <w:pPr>
              <w:pStyle w:val="15"/>
              <w:rPr>
                <w:rFonts w:hint="eastAsia" w:ascii="仿宋_GB2312" w:hAnsi="仿宋_GB2312" w:eastAsia="仿宋_GB2312" w:cs="仿宋_GB2312"/>
              </w:rPr>
            </w:pPr>
          </w:p>
        </w:tc>
      </w:tr>
      <w:tr w14:paraId="24F2E6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bottom w:val="nil"/>
            </w:tcBorders>
            <w:vAlign w:val="top"/>
          </w:tcPr>
          <w:p w14:paraId="2C360BB0">
            <w:pPr>
              <w:pStyle w:val="15"/>
              <w:rPr>
                <w:rFonts w:hint="eastAsia" w:ascii="仿宋_GB2312" w:hAnsi="仿宋_GB2312" w:eastAsia="仿宋_GB2312" w:cs="仿宋_GB2312"/>
              </w:rPr>
            </w:pPr>
          </w:p>
        </w:tc>
        <w:tc>
          <w:tcPr>
            <w:tcW w:w="1349" w:type="dxa"/>
            <w:vMerge w:val="restart"/>
            <w:tcBorders>
              <w:bottom w:val="nil"/>
            </w:tcBorders>
            <w:vAlign w:val="top"/>
          </w:tcPr>
          <w:p w14:paraId="506633F2">
            <w:pPr>
              <w:pStyle w:val="15"/>
              <w:spacing w:line="445" w:lineRule="auto"/>
              <w:rPr>
                <w:rFonts w:hint="eastAsia" w:ascii="仿宋_GB2312" w:hAnsi="仿宋_GB2312" w:eastAsia="仿宋_GB2312" w:cs="仿宋_GB2312"/>
              </w:rPr>
            </w:pPr>
          </w:p>
          <w:p w14:paraId="02A1EA4D">
            <w:pPr>
              <w:spacing w:before="72" w:line="221" w:lineRule="auto"/>
              <w:ind w:left="115"/>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关注风险点</w:t>
            </w:r>
          </w:p>
        </w:tc>
        <w:tc>
          <w:tcPr>
            <w:tcW w:w="2430" w:type="dxa"/>
            <w:vAlign w:val="top"/>
          </w:tcPr>
          <w:p w14:paraId="2089EDBF">
            <w:pPr>
              <w:spacing w:before="201" w:line="220" w:lineRule="auto"/>
              <w:ind w:left="114"/>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法律风险</w:t>
            </w:r>
          </w:p>
        </w:tc>
        <w:tc>
          <w:tcPr>
            <w:tcW w:w="872" w:type="dxa"/>
            <w:vAlign w:val="top"/>
          </w:tcPr>
          <w:p w14:paraId="31DB942C">
            <w:pPr>
              <w:spacing w:before="201"/>
              <w:ind w:left="119"/>
              <w:rPr>
                <w:rFonts w:hint="eastAsia" w:ascii="仿宋_GB2312" w:hAnsi="仿宋_GB2312" w:eastAsia="仿宋_GB2312" w:cs="仿宋_GB2312"/>
                <w:sz w:val="22"/>
                <w:szCs w:val="22"/>
              </w:rPr>
            </w:pPr>
            <w:r>
              <w:rPr>
                <w:rFonts w:hint="eastAsia" w:ascii="仿宋_GB2312" w:hAnsi="仿宋_GB2312" w:eastAsia="仿宋_GB2312" w:cs="仿宋_GB2312"/>
                <w:spacing w:val="-4"/>
                <w:sz w:val="22"/>
                <w:szCs w:val="22"/>
              </w:rPr>
              <w:t>30</w:t>
            </w:r>
          </w:p>
        </w:tc>
        <w:tc>
          <w:tcPr>
            <w:tcW w:w="590" w:type="dxa"/>
            <w:vAlign w:val="top"/>
          </w:tcPr>
          <w:p w14:paraId="69ED1A99">
            <w:pPr>
              <w:pStyle w:val="15"/>
              <w:rPr>
                <w:rFonts w:hint="eastAsia" w:ascii="仿宋_GB2312" w:hAnsi="仿宋_GB2312" w:eastAsia="仿宋_GB2312" w:cs="仿宋_GB2312"/>
              </w:rPr>
            </w:pPr>
          </w:p>
        </w:tc>
        <w:tc>
          <w:tcPr>
            <w:tcW w:w="590" w:type="dxa"/>
            <w:vAlign w:val="top"/>
          </w:tcPr>
          <w:p w14:paraId="24867463">
            <w:pPr>
              <w:pStyle w:val="15"/>
              <w:rPr>
                <w:rFonts w:hint="eastAsia" w:ascii="仿宋_GB2312" w:hAnsi="仿宋_GB2312" w:eastAsia="仿宋_GB2312" w:cs="仿宋_GB2312"/>
              </w:rPr>
            </w:pPr>
          </w:p>
        </w:tc>
        <w:tc>
          <w:tcPr>
            <w:tcW w:w="590" w:type="dxa"/>
            <w:vAlign w:val="top"/>
          </w:tcPr>
          <w:p w14:paraId="314ACE5F">
            <w:pPr>
              <w:pStyle w:val="15"/>
              <w:rPr>
                <w:rFonts w:hint="eastAsia" w:ascii="仿宋_GB2312" w:hAnsi="仿宋_GB2312" w:eastAsia="仿宋_GB2312" w:cs="仿宋_GB2312"/>
              </w:rPr>
            </w:pPr>
          </w:p>
        </w:tc>
        <w:tc>
          <w:tcPr>
            <w:tcW w:w="731" w:type="dxa"/>
            <w:vAlign w:val="top"/>
          </w:tcPr>
          <w:p w14:paraId="20CA5554">
            <w:pPr>
              <w:pStyle w:val="15"/>
              <w:rPr>
                <w:rFonts w:hint="eastAsia" w:ascii="仿宋_GB2312" w:hAnsi="仿宋_GB2312" w:eastAsia="仿宋_GB2312" w:cs="仿宋_GB2312"/>
              </w:rPr>
            </w:pPr>
          </w:p>
        </w:tc>
        <w:tc>
          <w:tcPr>
            <w:tcW w:w="596" w:type="dxa"/>
            <w:vAlign w:val="top"/>
          </w:tcPr>
          <w:p w14:paraId="6C857DB6">
            <w:pPr>
              <w:pStyle w:val="15"/>
              <w:rPr>
                <w:rFonts w:hint="eastAsia" w:ascii="仿宋_GB2312" w:hAnsi="仿宋_GB2312" w:eastAsia="仿宋_GB2312" w:cs="仿宋_GB2312"/>
              </w:rPr>
            </w:pPr>
          </w:p>
        </w:tc>
      </w:tr>
      <w:tr w14:paraId="55EB24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continue"/>
            <w:tcBorders>
              <w:top w:val="nil"/>
            </w:tcBorders>
            <w:vAlign w:val="top"/>
          </w:tcPr>
          <w:p w14:paraId="4FCFBE62">
            <w:pPr>
              <w:pStyle w:val="15"/>
              <w:rPr>
                <w:rFonts w:hint="eastAsia" w:ascii="仿宋_GB2312" w:hAnsi="仿宋_GB2312" w:eastAsia="仿宋_GB2312" w:cs="仿宋_GB2312"/>
              </w:rPr>
            </w:pPr>
          </w:p>
        </w:tc>
        <w:tc>
          <w:tcPr>
            <w:tcW w:w="1349" w:type="dxa"/>
            <w:vMerge w:val="continue"/>
            <w:tcBorders>
              <w:top w:val="nil"/>
            </w:tcBorders>
            <w:vAlign w:val="top"/>
          </w:tcPr>
          <w:p w14:paraId="52CAABAA">
            <w:pPr>
              <w:pStyle w:val="15"/>
              <w:rPr>
                <w:rFonts w:hint="eastAsia" w:ascii="仿宋_GB2312" w:hAnsi="仿宋_GB2312" w:eastAsia="仿宋_GB2312" w:cs="仿宋_GB2312"/>
              </w:rPr>
            </w:pPr>
          </w:p>
        </w:tc>
        <w:tc>
          <w:tcPr>
            <w:tcW w:w="2430" w:type="dxa"/>
            <w:vAlign w:val="top"/>
          </w:tcPr>
          <w:p w14:paraId="3B1F93C3">
            <w:pPr>
              <w:spacing w:before="203" w:line="220" w:lineRule="auto"/>
              <w:ind w:left="113"/>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执行风险</w:t>
            </w:r>
          </w:p>
        </w:tc>
        <w:tc>
          <w:tcPr>
            <w:tcW w:w="872" w:type="dxa"/>
            <w:vAlign w:val="top"/>
          </w:tcPr>
          <w:p w14:paraId="7DAA54A3">
            <w:pPr>
              <w:spacing w:before="203"/>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vAlign w:val="top"/>
          </w:tcPr>
          <w:p w14:paraId="089C63E0">
            <w:pPr>
              <w:pStyle w:val="15"/>
              <w:rPr>
                <w:rFonts w:hint="eastAsia" w:ascii="仿宋_GB2312" w:hAnsi="仿宋_GB2312" w:eastAsia="仿宋_GB2312" w:cs="仿宋_GB2312"/>
              </w:rPr>
            </w:pPr>
          </w:p>
        </w:tc>
        <w:tc>
          <w:tcPr>
            <w:tcW w:w="590" w:type="dxa"/>
            <w:vAlign w:val="top"/>
          </w:tcPr>
          <w:p w14:paraId="0183C86B">
            <w:pPr>
              <w:pStyle w:val="15"/>
              <w:rPr>
                <w:rFonts w:hint="eastAsia" w:ascii="仿宋_GB2312" w:hAnsi="仿宋_GB2312" w:eastAsia="仿宋_GB2312" w:cs="仿宋_GB2312"/>
              </w:rPr>
            </w:pPr>
          </w:p>
        </w:tc>
        <w:tc>
          <w:tcPr>
            <w:tcW w:w="590" w:type="dxa"/>
            <w:vAlign w:val="top"/>
          </w:tcPr>
          <w:p w14:paraId="14CBDF74">
            <w:pPr>
              <w:pStyle w:val="15"/>
              <w:rPr>
                <w:rFonts w:hint="eastAsia" w:ascii="仿宋_GB2312" w:hAnsi="仿宋_GB2312" w:eastAsia="仿宋_GB2312" w:cs="仿宋_GB2312"/>
              </w:rPr>
            </w:pPr>
          </w:p>
        </w:tc>
        <w:tc>
          <w:tcPr>
            <w:tcW w:w="731" w:type="dxa"/>
            <w:vAlign w:val="top"/>
          </w:tcPr>
          <w:p w14:paraId="4DA45943">
            <w:pPr>
              <w:pStyle w:val="15"/>
              <w:rPr>
                <w:rFonts w:hint="eastAsia" w:ascii="仿宋_GB2312" w:hAnsi="仿宋_GB2312" w:eastAsia="仿宋_GB2312" w:cs="仿宋_GB2312"/>
              </w:rPr>
            </w:pPr>
          </w:p>
        </w:tc>
        <w:tc>
          <w:tcPr>
            <w:tcW w:w="596" w:type="dxa"/>
            <w:vAlign w:val="top"/>
          </w:tcPr>
          <w:p w14:paraId="1934AB84">
            <w:pPr>
              <w:pStyle w:val="15"/>
              <w:rPr>
                <w:rFonts w:hint="eastAsia" w:ascii="仿宋_GB2312" w:hAnsi="仿宋_GB2312" w:eastAsia="仿宋_GB2312" w:cs="仿宋_GB2312"/>
              </w:rPr>
            </w:pPr>
          </w:p>
        </w:tc>
      </w:tr>
      <w:tr w14:paraId="1222D3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32" w:type="dxa"/>
            <w:vMerge w:val="restart"/>
            <w:tcBorders>
              <w:bottom w:val="nil"/>
            </w:tcBorders>
            <w:vAlign w:val="top"/>
          </w:tcPr>
          <w:p w14:paraId="69B580CF">
            <w:pPr>
              <w:pStyle w:val="15"/>
              <w:spacing w:line="313" w:lineRule="auto"/>
              <w:rPr>
                <w:rFonts w:hint="eastAsia" w:ascii="仿宋_GB2312" w:hAnsi="仿宋_GB2312" w:eastAsia="仿宋_GB2312" w:cs="仿宋_GB2312"/>
              </w:rPr>
            </w:pPr>
          </w:p>
          <w:p w14:paraId="7762A3FD">
            <w:pPr>
              <w:pStyle w:val="15"/>
              <w:spacing w:line="313" w:lineRule="auto"/>
              <w:rPr>
                <w:rFonts w:hint="eastAsia" w:ascii="仿宋_GB2312" w:hAnsi="仿宋_GB2312" w:eastAsia="仿宋_GB2312" w:cs="仿宋_GB2312"/>
              </w:rPr>
            </w:pPr>
          </w:p>
          <w:p w14:paraId="6CC0CC02">
            <w:pPr>
              <w:pStyle w:val="15"/>
              <w:spacing w:line="313" w:lineRule="auto"/>
              <w:rPr>
                <w:rFonts w:hint="eastAsia" w:ascii="仿宋_GB2312" w:hAnsi="仿宋_GB2312" w:eastAsia="仿宋_GB2312" w:cs="仿宋_GB2312"/>
              </w:rPr>
            </w:pPr>
          </w:p>
          <w:p w14:paraId="2CECE1DB">
            <w:pPr>
              <w:spacing w:before="71" w:line="267" w:lineRule="auto"/>
              <w:ind w:left="116" w:right="107"/>
              <w:rPr>
                <w:rFonts w:hint="eastAsia" w:ascii="仿宋_GB2312" w:hAnsi="仿宋_GB2312" w:eastAsia="仿宋_GB2312" w:cs="仿宋_GB2312"/>
                <w:sz w:val="22"/>
                <w:szCs w:val="22"/>
              </w:rPr>
            </w:pPr>
            <w:r>
              <w:rPr>
                <w:rFonts w:hint="eastAsia" w:ascii="仿宋_GB2312" w:hAnsi="仿宋_GB2312" w:eastAsia="仿宋_GB2312" w:cs="仿宋_GB2312"/>
                <w:spacing w:val="20"/>
                <w:sz w:val="22"/>
                <w:szCs w:val="22"/>
              </w:rPr>
              <w:t>年度整体评</w:t>
            </w:r>
            <w:r>
              <w:rPr>
                <w:rFonts w:hint="eastAsia" w:ascii="仿宋_GB2312" w:hAnsi="仿宋_GB2312" w:eastAsia="仿宋_GB2312" w:cs="仿宋_GB2312"/>
                <w:spacing w:val="-4"/>
                <w:sz w:val="22"/>
                <w:szCs w:val="22"/>
              </w:rPr>
              <w:t>价（50</w:t>
            </w:r>
            <w:r>
              <w:rPr>
                <w:rFonts w:hint="eastAsia" w:ascii="仿宋_GB2312" w:hAnsi="仿宋_GB2312" w:eastAsia="仿宋_GB2312" w:cs="仿宋_GB2312"/>
                <w:spacing w:val="-43"/>
                <w:sz w:val="22"/>
                <w:szCs w:val="22"/>
              </w:rPr>
              <w:t xml:space="preserve"> </w:t>
            </w:r>
            <w:r>
              <w:rPr>
                <w:rFonts w:hint="eastAsia" w:ascii="仿宋_GB2312" w:hAnsi="仿宋_GB2312" w:eastAsia="仿宋_GB2312" w:cs="仿宋_GB2312"/>
                <w:spacing w:val="-4"/>
                <w:sz w:val="22"/>
                <w:szCs w:val="22"/>
              </w:rPr>
              <w:t>分）</w:t>
            </w:r>
          </w:p>
        </w:tc>
        <w:tc>
          <w:tcPr>
            <w:tcW w:w="1349" w:type="dxa"/>
            <w:vAlign w:val="top"/>
          </w:tcPr>
          <w:p w14:paraId="292447BA">
            <w:pPr>
              <w:spacing w:before="202" w:line="220" w:lineRule="auto"/>
              <w:ind w:left="11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值班到岗</w:t>
            </w:r>
          </w:p>
        </w:tc>
        <w:tc>
          <w:tcPr>
            <w:tcW w:w="2430" w:type="dxa"/>
            <w:vAlign w:val="top"/>
          </w:tcPr>
          <w:p w14:paraId="13F28501">
            <w:pPr>
              <w:spacing w:before="202" w:line="220" w:lineRule="auto"/>
              <w:ind w:left="117"/>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是否按照约定到岗</w:t>
            </w:r>
          </w:p>
        </w:tc>
        <w:tc>
          <w:tcPr>
            <w:tcW w:w="872" w:type="dxa"/>
            <w:vAlign w:val="top"/>
          </w:tcPr>
          <w:p w14:paraId="4F7D97B2">
            <w:pPr>
              <w:spacing w:before="202"/>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12D72AD1">
            <w:pPr>
              <w:pStyle w:val="15"/>
              <w:rPr>
                <w:rFonts w:hint="eastAsia" w:ascii="仿宋_GB2312" w:hAnsi="仿宋_GB2312" w:eastAsia="仿宋_GB2312" w:cs="仿宋_GB2312"/>
              </w:rPr>
            </w:pPr>
          </w:p>
        </w:tc>
        <w:tc>
          <w:tcPr>
            <w:tcW w:w="590" w:type="dxa"/>
            <w:vAlign w:val="top"/>
          </w:tcPr>
          <w:p w14:paraId="522D0F8B">
            <w:pPr>
              <w:pStyle w:val="15"/>
              <w:rPr>
                <w:rFonts w:hint="eastAsia" w:ascii="仿宋_GB2312" w:hAnsi="仿宋_GB2312" w:eastAsia="仿宋_GB2312" w:cs="仿宋_GB2312"/>
              </w:rPr>
            </w:pPr>
          </w:p>
        </w:tc>
        <w:tc>
          <w:tcPr>
            <w:tcW w:w="590" w:type="dxa"/>
            <w:vAlign w:val="top"/>
          </w:tcPr>
          <w:p w14:paraId="05693EC2">
            <w:pPr>
              <w:pStyle w:val="15"/>
              <w:rPr>
                <w:rFonts w:hint="eastAsia" w:ascii="仿宋_GB2312" w:hAnsi="仿宋_GB2312" w:eastAsia="仿宋_GB2312" w:cs="仿宋_GB2312"/>
              </w:rPr>
            </w:pPr>
          </w:p>
        </w:tc>
        <w:tc>
          <w:tcPr>
            <w:tcW w:w="731" w:type="dxa"/>
            <w:vAlign w:val="top"/>
          </w:tcPr>
          <w:p w14:paraId="07360847">
            <w:pPr>
              <w:pStyle w:val="15"/>
              <w:rPr>
                <w:rFonts w:hint="eastAsia" w:ascii="仿宋_GB2312" w:hAnsi="仿宋_GB2312" w:eastAsia="仿宋_GB2312" w:cs="仿宋_GB2312"/>
              </w:rPr>
            </w:pPr>
          </w:p>
        </w:tc>
        <w:tc>
          <w:tcPr>
            <w:tcW w:w="596" w:type="dxa"/>
            <w:vAlign w:val="top"/>
          </w:tcPr>
          <w:p w14:paraId="6DAFD51D">
            <w:pPr>
              <w:pStyle w:val="15"/>
              <w:rPr>
                <w:rFonts w:hint="eastAsia" w:ascii="仿宋_GB2312" w:hAnsi="仿宋_GB2312" w:eastAsia="仿宋_GB2312" w:cs="仿宋_GB2312"/>
              </w:rPr>
            </w:pPr>
          </w:p>
        </w:tc>
      </w:tr>
      <w:tr w14:paraId="6BDF7F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32" w:type="dxa"/>
            <w:vMerge w:val="continue"/>
            <w:tcBorders>
              <w:top w:val="nil"/>
              <w:bottom w:val="nil"/>
            </w:tcBorders>
            <w:vAlign w:val="top"/>
          </w:tcPr>
          <w:p w14:paraId="4D9143BF">
            <w:pPr>
              <w:pStyle w:val="15"/>
              <w:rPr>
                <w:rFonts w:hint="eastAsia" w:ascii="仿宋_GB2312" w:hAnsi="仿宋_GB2312" w:eastAsia="仿宋_GB2312" w:cs="仿宋_GB2312"/>
              </w:rPr>
            </w:pPr>
          </w:p>
        </w:tc>
        <w:tc>
          <w:tcPr>
            <w:tcW w:w="1349" w:type="dxa"/>
            <w:vAlign w:val="top"/>
          </w:tcPr>
          <w:p w14:paraId="06D720D5">
            <w:pPr>
              <w:spacing w:before="209" w:line="221" w:lineRule="auto"/>
              <w:ind w:left="123"/>
              <w:rPr>
                <w:rFonts w:hint="eastAsia" w:ascii="仿宋_GB2312" w:hAnsi="仿宋_GB2312" w:eastAsia="仿宋_GB2312" w:cs="仿宋_GB2312"/>
                <w:sz w:val="22"/>
                <w:szCs w:val="22"/>
              </w:rPr>
            </w:pPr>
            <w:r>
              <w:rPr>
                <w:rFonts w:hint="eastAsia" w:ascii="仿宋_GB2312" w:hAnsi="仿宋_GB2312" w:eastAsia="仿宋_GB2312" w:cs="仿宋_GB2312"/>
                <w:spacing w:val="-5"/>
                <w:sz w:val="22"/>
                <w:szCs w:val="22"/>
              </w:rPr>
              <w:t>响应速度</w:t>
            </w:r>
          </w:p>
        </w:tc>
        <w:tc>
          <w:tcPr>
            <w:tcW w:w="2430" w:type="dxa"/>
            <w:vAlign w:val="top"/>
          </w:tcPr>
          <w:p w14:paraId="2A39E878">
            <w:pPr>
              <w:spacing w:before="50" w:line="244" w:lineRule="auto"/>
              <w:ind w:left="113" w:right="116" w:firstLine="3"/>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是否在规定的时间内响</w:t>
            </w:r>
            <w:r>
              <w:rPr>
                <w:rFonts w:hint="eastAsia" w:ascii="仿宋_GB2312" w:hAnsi="仿宋_GB2312" w:eastAsia="仿宋_GB2312" w:cs="仿宋_GB2312"/>
                <w:spacing w:val="-2"/>
                <w:sz w:val="22"/>
                <w:szCs w:val="22"/>
              </w:rPr>
              <w:t>应并完成</w:t>
            </w:r>
          </w:p>
        </w:tc>
        <w:tc>
          <w:tcPr>
            <w:tcW w:w="872" w:type="dxa"/>
            <w:vAlign w:val="top"/>
          </w:tcPr>
          <w:p w14:paraId="2209A323">
            <w:pPr>
              <w:spacing w:before="209"/>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2424CF00">
            <w:pPr>
              <w:pStyle w:val="15"/>
              <w:rPr>
                <w:rFonts w:hint="eastAsia" w:ascii="仿宋_GB2312" w:hAnsi="仿宋_GB2312" w:eastAsia="仿宋_GB2312" w:cs="仿宋_GB2312"/>
              </w:rPr>
            </w:pPr>
          </w:p>
        </w:tc>
        <w:tc>
          <w:tcPr>
            <w:tcW w:w="590" w:type="dxa"/>
            <w:vAlign w:val="top"/>
          </w:tcPr>
          <w:p w14:paraId="48AAB5A1">
            <w:pPr>
              <w:pStyle w:val="15"/>
              <w:rPr>
                <w:rFonts w:hint="eastAsia" w:ascii="仿宋_GB2312" w:hAnsi="仿宋_GB2312" w:eastAsia="仿宋_GB2312" w:cs="仿宋_GB2312"/>
              </w:rPr>
            </w:pPr>
          </w:p>
        </w:tc>
        <w:tc>
          <w:tcPr>
            <w:tcW w:w="590" w:type="dxa"/>
            <w:vAlign w:val="top"/>
          </w:tcPr>
          <w:p w14:paraId="709B06DE">
            <w:pPr>
              <w:pStyle w:val="15"/>
              <w:rPr>
                <w:rFonts w:hint="eastAsia" w:ascii="仿宋_GB2312" w:hAnsi="仿宋_GB2312" w:eastAsia="仿宋_GB2312" w:cs="仿宋_GB2312"/>
              </w:rPr>
            </w:pPr>
          </w:p>
        </w:tc>
        <w:tc>
          <w:tcPr>
            <w:tcW w:w="731" w:type="dxa"/>
            <w:vAlign w:val="top"/>
          </w:tcPr>
          <w:p w14:paraId="1CE5A46E">
            <w:pPr>
              <w:pStyle w:val="15"/>
              <w:rPr>
                <w:rFonts w:hint="eastAsia" w:ascii="仿宋_GB2312" w:hAnsi="仿宋_GB2312" w:eastAsia="仿宋_GB2312" w:cs="仿宋_GB2312"/>
              </w:rPr>
            </w:pPr>
          </w:p>
        </w:tc>
        <w:tc>
          <w:tcPr>
            <w:tcW w:w="596" w:type="dxa"/>
            <w:vAlign w:val="top"/>
          </w:tcPr>
          <w:p w14:paraId="12CCF14C">
            <w:pPr>
              <w:pStyle w:val="15"/>
              <w:rPr>
                <w:rFonts w:hint="eastAsia" w:ascii="仿宋_GB2312" w:hAnsi="仿宋_GB2312" w:eastAsia="仿宋_GB2312" w:cs="仿宋_GB2312"/>
              </w:rPr>
            </w:pPr>
          </w:p>
        </w:tc>
      </w:tr>
      <w:tr w14:paraId="3146D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32" w:type="dxa"/>
            <w:vMerge w:val="continue"/>
            <w:tcBorders>
              <w:top w:val="nil"/>
              <w:bottom w:val="nil"/>
            </w:tcBorders>
            <w:vAlign w:val="top"/>
          </w:tcPr>
          <w:p w14:paraId="354FD663">
            <w:pPr>
              <w:pStyle w:val="15"/>
              <w:rPr>
                <w:rFonts w:hint="eastAsia" w:ascii="仿宋_GB2312" w:hAnsi="仿宋_GB2312" w:eastAsia="仿宋_GB2312" w:cs="仿宋_GB2312"/>
              </w:rPr>
            </w:pPr>
          </w:p>
        </w:tc>
        <w:tc>
          <w:tcPr>
            <w:tcW w:w="1349" w:type="dxa"/>
            <w:vAlign w:val="top"/>
          </w:tcPr>
          <w:p w14:paraId="6D4EA9E3">
            <w:pPr>
              <w:spacing w:before="210" w:line="221" w:lineRule="auto"/>
              <w:ind w:left="111"/>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配合程度</w:t>
            </w:r>
          </w:p>
        </w:tc>
        <w:tc>
          <w:tcPr>
            <w:tcW w:w="2430" w:type="dxa"/>
            <w:vAlign w:val="top"/>
          </w:tcPr>
          <w:p w14:paraId="108BD4CD">
            <w:pPr>
              <w:spacing w:before="52" w:line="243" w:lineRule="auto"/>
              <w:ind w:left="140" w:right="116" w:hanging="23"/>
              <w:rPr>
                <w:rFonts w:hint="eastAsia" w:ascii="仿宋_GB2312" w:hAnsi="仿宋_GB2312" w:eastAsia="仿宋_GB2312" w:cs="仿宋_GB2312"/>
                <w:sz w:val="22"/>
                <w:szCs w:val="22"/>
              </w:rPr>
            </w:pPr>
            <w:r>
              <w:rPr>
                <w:rFonts w:hint="eastAsia" w:ascii="仿宋_GB2312" w:hAnsi="仿宋_GB2312" w:eastAsia="仿宋_GB2312" w:cs="仿宋_GB2312"/>
                <w:spacing w:val="-1"/>
                <w:sz w:val="22"/>
                <w:szCs w:val="22"/>
              </w:rPr>
              <w:t>是否按照要求完成工作</w:t>
            </w:r>
            <w:r>
              <w:rPr>
                <w:rFonts w:hint="eastAsia" w:ascii="仿宋_GB2312" w:hAnsi="仿宋_GB2312" w:eastAsia="仿宋_GB2312" w:cs="仿宋_GB2312"/>
                <w:spacing w:val="-9"/>
                <w:sz w:val="22"/>
                <w:szCs w:val="22"/>
              </w:rPr>
              <w:t>内容</w:t>
            </w:r>
          </w:p>
        </w:tc>
        <w:tc>
          <w:tcPr>
            <w:tcW w:w="872" w:type="dxa"/>
            <w:vAlign w:val="top"/>
          </w:tcPr>
          <w:p w14:paraId="26BDDEFA">
            <w:pPr>
              <w:spacing w:before="210"/>
              <w:ind w:left="117"/>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20</w:t>
            </w:r>
          </w:p>
        </w:tc>
        <w:tc>
          <w:tcPr>
            <w:tcW w:w="590" w:type="dxa"/>
            <w:vAlign w:val="top"/>
          </w:tcPr>
          <w:p w14:paraId="148CA7D6">
            <w:pPr>
              <w:pStyle w:val="15"/>
              <w:rPr>
                <w:rFonts w:hint="eastAsia" w:ascii="仿宋_GB2312" w:hAnsi="仿宋_GB2312" w:eastAsia="仿宋_GB2312" w:cs="仿宋_GB2312"/>
              </w:rPr>
            </w:pPr>
          </w:p>
        </w:tc>
        <w:tc>
          <w:tcPr>
            <w:tcW w:w="590" w:type="dxa"/>
            <w:vAlign w:val="top"/>
          </w:tcPr>
          <w:p w14:paraId="23F0D207">
            <w:pPr>
              <w:pStyle w:val="15"/>
              <w:rPr>
                <w:rFonts w:hint="eastAsia" w:ascii="仿宋_GB2312" w:hAnsi="仿宋_GB2312" w:eastAsia="仿宋_GB2312" w:cs="仿宋_GB2312"/>
              </w:rPr>
            </w:pPr>
          </w:p>
        </w:tc>
        <w:tc>
          <w:tcPr>
            <w:tcW w:w="590" w:type="dxa"/>
            <w:vAlign w:val="top"/>
          </w:tcPr>
          <w:p w14:paraId="7592A508">
            <w:pPr>
              <w:pStyle w:val="15"/>
              <w:rPr>
                <w:rFonts w:hint="eastAsia" w:ascii="仿宋_GB2312" w:hAnsi="仿宋_GB2312" w:eastAsia="仿宋_GB2312" w:cs="仿宋_GB2312"/>
              </w:rPr>
            </w:pPr>
          </w:p>
        </w:tc>
        <w:tc>
          <w:tcPr>
            <w:tcW w:w="731" w:type="dxa"/>
            <w:vAlign w:val="top"/>
          </w:tcPr>
          <w:p w14:paraId="5C8D6AF2">
            <w:pPr>
              <w:pStyle w:val="15"/>
              <w:rPr>
                <w:rFonts w:hint="eastAsia" w:ascii="仿宋_GB2312" w:hAnsi="仿宋_GB2312" w:eastAsia="仿宋_GB2312" w:cs="仿宋_GB2312"/>
              </w:rPr>
            </w:pPr>
          </w:p>
        </w:tc>
        <w:tc>
          <w:tcPr>
            <w:tcW w:w="596" w:type="dxa"/>
            <w:vAlign w:val="top"/>
          </w:tcPr>
          <w:p w14:paraId="249AF3DA">
            <w:pPr>
              <w:pStyle w:val="15"/>
              <w:rPr>
                <w:rFonts w:hint="eastAsia" w:ascii="仿宋_GB2312" w:hAnsi="仿宋_GB2312" w:eastAsia="仿宋_GB2312" w:cs="仿宋_GB2312"/>
              </w:rPr>
            </w:pPr>
          </w:p>
        </w:tc>
      </w:tr>
      <w:tr w14:paraId="5C8CB0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432" w:type="dxa"/>
            <w:vMerge w:val="continue"/>
            <w:tcBorders>
              <w:top w:val="nil"/>
            </w:tcBorders>
            <w:vAlign w:val="top"/>
          </w:tcPr>
          <w:p w14:paraId="1AF61EB0">
            <w:pPr>
              <w:pStyle w:val="15"/>
              <w:rPr>
                <w:rFonts w:hint="eastAsia" w:ascii="仿宋_GB2312" w:hAnsi="仿宋_GB2312" w:eastAsia="仿宋_GB2312" w:cs="仿宋_GB2312"/>
              </w:rPr>
            </w:pPr>
          </w:p>
        </w:tc>
        <w:tc>
          <w:tcPr>
            <w:tcW w:w="1349" w:type="dxa"/>
            <w:vAlign w:val="top"/>
          </w:tcPr>
          <w:p w14:paraId="10D8936D">
            <w:pPr>
              <w:spacing w:before="211" w:line="220" w:lineRule="auto"/>
              <w:ind w:left="112"/>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专业水平</w:t>
            </w:r>
          </w:p>
        </w:tc>
        <w:tc>
          <w:tcPr>
            <w:tcW w:w="2430" w:type="dxa"/>
            <w:vAlign w:val="top"/>
          </w:tcPr>
          <w:p w14:paraId="16B41F61">
            <w:pPr>
              <w:spacing w:before="52" w:line="243" w:lineRule="auto"/>
              <w:ind w:left="132" w:right="116"/>
              <w:rPr>
                <w:rFonts w:hint="eastAsia" w:ascii="仿宋_GB2312" w:hAnsi="仿宋_GB2312" w:eastAsia="仿宋_GB2312" w:cs="仿宋_GB2312"/>
                <w:sz w:val="22"/>
                <w:szCs w:val="22"/>
              </w:rPr>
            </w:pPr>
            <w:r>
              <w:rPr>
                <w:rFonts w:hint="eastAsia" w:ascii="仿宋_GB2312" w:hAnsi="仿宋_GB2312" w:eastAsia="仿宋_GB2312" w:cs="仿宋_GB2312"/>
                <w:spacing w:val="-3"/>
                <w:sz w:val="22"/>
                <w:szCs w:val="22"/>
              </w:rPr>
              <w:t>出具成果是否体现较高</w:t>
            </w:r>
            <w:r>
              <w:rPr>
                <w:rFonts w:hint="eastAsia" w:ascii="仿宋_GB2312" w:hAnsi="仿宋_GB2312" w:eastAsia="仿宋_GB2312" w:cs="仿宋_GB2312"/>
                <w:spacing w:val="-5"/>
                <w:sz w:val="22"/>
                <w:szCs w:val="22"/>
              </w:rPr>
              <w:t>的专业水平</w:t>
            </w:r>
          </w:p>
        </w:tc>
        <w:tc>
          <w:tcPr>
            <w:tcW w:w="872" w:type="dxa"/>
            <w:vAlign w:val="top"/>
          </w:tcPr>
          <w:p w14:paraId="2F24A421">
            <w:pPr>
              <w:spacing w:before="211"/>
              <w:ind w:left="131"/>
              <w:rPr>
                <w:rFonts w:hint="eastAsia" w:ascii="仿宋_GB2312" w:hAnsi="仿宋_GB2312" w:eastAsia="仿宋_GB2312" w:cs="仿宋_GB2312"/>
                <w:sz w:val="22"/>
                <w:szCs w:val="22"/>
              </w:rPr>
            </w:pPr>
            <w:r>
              <w:rPr>
                <w:rFonts w:hint="eastAsia" w:ascii="仿宋_GB2312" w:hAnsi="仿宋_GB2312" w:eastAsia="仿宋_GB2312" w:cs="仿宋_GB2312"/>
                <w:spacing w:val="-6"/>
                <w:sz w:val="22"/>
                <w:szCs w:val="22"/>
              </w:rPr>
              <w:t>10</w:t>
            </w:r>
          </w:p>
        </w:tc>
        <w:tc>
          <w:tcPr>
            <w:tcW w:w="590" w:type="dxa"/>
            <w:vAlign w:val="top"/>
          </w:tcPr>
          <w:p w14:paraId="0ADACCFA">
            <w:pPr>
              <w:pStyle w:val="15"/>
              <w:rPr>
                <w:rFonts w:hint="eastAsia" w:ascii="仿宋_GB2312" w:hAnsi="仿宋_GB2312" w:eastAsia="仿宋_GB2312" w:cs="仿宋_GB2312"/>
              </w:rPr>
            </w:pPr>
          </w:p>
        </w:tc>
        <w:tc>
          <w:tcPr>
            <w:tcW w:w="590" w:type="dxa"/>
            <w:vAlign w:val="top"/>
          </w:tcPr>
          <w:p w14:paraId="36CAEFF0">
            <w:pPr>
              <w:pStyle w:val="15"/>
              <w:rPr>
                <w:rFonts w:hint="eastAsia" w:ascii="仿宋_GB2312" w:hAnsi="仿宋_GB2312" w:eastAsia="仿宋_GB2312" w:cs="仿宋_GB2312"/>
              </w:rPr>
            </w:pPr>
          </w:p>
        </w:tc>
        <w:tc>
          <w:tcPr>
            <w:tcW w:w="590" w:type="dxa"/>
            <w:vAlign w:val="top"/>
          </w:tcPr>
          <w:p w14:paraId="53BC5A02">
            <w:pPr>
              <w:pStyle w:val="15"/>
              <w:rPr>
                <w:rFonts w:hint="eastAsia" w:ascii="仿宋_GB2312" w:hAnsi="仿宋_GB2312" w:eastAsia="仿宋_GB2312" w:cs="仿宋_GB2312"/>
              </w:rPr>
            </w:pPr>
          </w:p>
        </w:tc>
        <w:tc>
          <w:tcPr>
            <w:tcW w:w="731" w:type="dxa"/>
            <w:vAlign w:val="top"/>
          </w:tcPr>
          <w:p w14:paraId="2E2E0653">
            <w:pPr>
              <w:pStyle w:val="15"/>
              <w:rPr>
                <w:rFonts w:hint="eastAsia" w:ascii="仿宋_GB2312" w:hAnsi="仿宋_GB2312" w:eastAsia="仿宋_GB2312" w:cs="仿宋_GB2312"/>
              </w:rPr>
            </w:pPr>
          </w:p>
        </w:tc>
        <w:tc>
          <w:tcPr>
            <w:tcW w:w="596" w:type="dxa"/>
            <w:vAlign w:val="top"/>
          </w:tcPr>
          <w:p w14:paraId="46060012">
            <w:pPr>
              <w:pStyle w:val="15"/>
              <w:rPr>
                <w:rFonts w:hint="eastAsia" w:ascii="仿宋_GB2312" w:hAnsi="仿宋_GB2312" w:eastAsia="仿宋_GB2312" w:cs="仿宋_GB2312"/>
              </w:rPr>
            </w:pPr>
          </w:p>
        </w:tc>
      </w:tr>
      <w:tr w14:paraId="33D19C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2" w:hRule="atLeast"/>
        </w:trPr>
        <w:tc>
          <w:tcPr>
            <w:tcW w:w="9180" w:type="dxa"/>
            <w:gridSpan w:val="9"/>
            <w:vAlign w:val="top"/>
          </w:tcPr>
          <w:p w14:paraId="7C783D01">
            <w:pPr>
              <w:spacing w:before="54" w:line="261" w:lineRule="auto"/>
              <w:ind w:left="114" w:right="101"/>
              <w:jc w:val="both"/>
              <w:rPr>
                <w:rFonts w:hint="eastAsia" w:ascii="仿宋_GB2312" w:hAnsi="仿宋_GB2312" w:eastAsia="仿宋_GB2312" w:cs="仿宋_GB2312"/>
                <w:sz w:val="22"/>
                <w:szCs w:val="22"/>
              </w:rPr>
            </w:pPr>
            <w:r>
              <w:rPr>
                <w:rFonts w:hint="eastAsia" w:ascii="仿宋_GB2312" w:hAnsi="仿宋_GB2312" w:eastAsia="仿宋_GB2312" w:cs="仿宋_GB2312"/>
                <w:spacing w:val="-2"/>
                <w:sz w:val="22"/>
                <w:szCs w:val="22"/>
              </w:rPr>
              <w:t>注：在评级是合格或者不合格时，根据审核事项的权重分值和审核过程中出现的审核问题进行</w:t>
            </w:r>
            <w:r>
              <w:rPr>
                <w:rFonts w:hint="eastAsia" w:ascii="仿宋_GB2312" w:hAnsi="仿宋_GB2312" w:eastAsia="仿宋_GB2312" w:cs="仿宋_GB2312"/>
                <w:sz w:val="22"/>
                <w:szCs w:val="22"/>
              </w:rPr>
              <w:t>扣分，当单项年度扣分</w:t>
            </w:r>
            <w:r>
              <w:rPr>
                <w:rFonts w:hint="eastAsia" w:ascii="仿宋_GB2312" w:hAnsi="仿宋_GB2312" w:eastAsia="仿宋_GB2312" w:cs="仿宋_GB2312"/>
                <w:spacing w:val="-43"/>
                <w:sz w:val="22"/>
                <w:szCs w:val="22"/>
              </w:rPr>
              <w:t xml:space="preserve"> </w:t>
            </w:r>
            <w:r>
              <w:rPr>
                <w:rFonts w:hint="eastAsia" w:ascii="仿宋_GB2312" w:hAnsi="仿宋_GB2312" w:eastAsia="仿宋_GB2312" w:cs="仿宋_GB2312"/>
                <w:sz w:val="22"/>
                <w:szCs w:val="22"/>
              </w:rPr>
              <w:t>5</w:t>
            </w:r>
            <w:r>
              <w:rPr>
                <w:rFonts w:hint="eastAsia" w:ascii="仿宋_GB2312" w:hAnsi="仿宋_GB2312" w:eastAsia="仿宋_GB2312" w:cs="仿宋_GB2312"/>
                <w:spacing w:val="-43"/>
                <w:sz w:val="22"/>
                <w:szCs w:val="22"/>
              </w:rPr>
              <w:t xml:space="preserve"> </w:t>
            </w:r>
            <w:r>
              <w:rPr>
                <w:rFonts w:hint="eastAsia" w:ascii="仿宋_GB2312" w:hAnsi="仿宋_GB2312" w:eastAsia="仿宋_GB2312" w:cs="仿宋_GB2312"/>
                <w:sz w:val="22"/>
                <w:szCs w:val="22"/>
              </w:rPr>
              <w:t>分以内且年度总扣分不超过</w:t>
            </w:r>
            <w:r>
              <w:rPr>
                <w:rFonts w:hint="eastAsia" w:ascii="仿宋_GB2312" w:hAnsi="仿宋_GB2312" w:eastAsia="仿宋_GB2312" w:cs="仿宋_GB2312"/>
                <w:spacing w:val="-43"/>
                <w:sz w:val="22"/>
                <w:szCs w:val="22"/>
              </w:rPr>
              <w:t xml:space="preserve"> </w:t>
            </w:r>
            <w:r>
              <w:rPr>
                <w:rFonts w:hint="eastAsia" w:ascii="仿宋_GB2312" w:hAnsi="仿宋_GB2312" w:eastAsia="仿宋_GB2312" w:cs="仿宋_GB2312"/>
                <w:sz w:val="22"/>
                <w:szCs w:val="22"/>
              </w:rPr>
              <w:t>30</w:t>
            </w:r>
            <w:r>
              <w:rPr>
                <w:rFonts w:hint="eastAsia" w:ascii="仿宋_GB2312" w:hAnsi="仿宋_GB2312" w:eastAsia="仿宋_GB2312" w:cs="仿宋_GB2312"/>
                <w:spacing w:val="-44"/>
                <w:sz w:val="22"/>
                <w:szCs w:val="22"/>
              </w:rPr>
              <w:t xml:space="preserve"> </w:t>
            </w:r>
            <w:r>
              <w:rPr>
                <w:rFonts w:hint="eastAsia" w:ascii="仿宋_GB2312" w:hAnsi="仿宋_GB2312" w:eastAsia="仿宋_GB2312" w:cs="仿宋_GB2312"/>
                <w:sz w:val="22"/>
                <w:szCs w:val="22"/>
              </w:rPr>
              <w:t>分的不影响服务费的支付，</w:t>
            </w:r>
            <w:r>
              <w:rPr>
                <w:rFonts w:hint="eastAsia" w:ascii="仿宋_GB2312" w:hAnsi="仿宋_GB2312" w:eastAsia="仿宋_GB2312" w:cs="仿宋_GB2312"/>
                <w:spacing w:val="-1"/>
                <w:sz w:val="22"/>
                <w:szCs w:val="22"/>
              </w:rPr>
              <w:t>单项年度</w:t>
            </w:r>
            <w:r>
              <w:rPr>
                <w:rFonts w:hint="eastAsia" w:ascii="仿宋_GB2312" w:hAnsi="仿宋_GB2312" w:eastAsia="仿宋_GB2312" w:cs="仿宋_GB2312"/>
                <w:spacing w:val="-2"/>
                <w:sz w:val="22"/>
                <w:szCs w:val="22"/>
              </w:rPr>
              <w:t>扣分</w:t>
            </w:r>
            <w:r>
              <w:rPr>
                <w:rFonts w:hint="eastAsia" w:ascii="仿宋_GB2312" w:hAnsi="仿宋_GB2312" w:eastAsia="仿宋_GB2312" w:cs="仿宋_GB2312"/>
                <w:spacing w:val="-44"/>
                <w:sz w:val="22"/>
                <w:szCs w:val="22"/>
              </w:rPr>
              <w:t xml:space="preserve"> </w:t>
            </w:r>
            <w:r>
              <w:rPr>
                <w:rFonts w:hint="eastAsia" w:ascii="仿宋_GB2312" w:hAnsi="仿宋_GB2312" w:eastAsia="仿宋_GB2312" w:cs="仿宋_GB2312"/>
                <w:spacing w:val="-2"/>
                <w:sz w:val="22"/>
                <w:szCs w:val="22"/>
              </w:rPr>
              <w:t>5-10</w:t>
            </w:r>
            <w:r>
              <w:rPr>
                <w:rFonts w:hint="eastAsia" w:ascii="仿宋_GB2312" w:hAnsi="仿宋_GB2312" w:eastAsia="仿宋_GB2312" w:cs="仿宋_GB2312"/>
                <w:spacing w:val="-44"/>
                <w:sz w:val="22"/>
                <w:szCs w:val="22"/>
              </w:rPr>
              <w:t xml:space="preserve"> </w:t>
            </w:r>
            <w:r>
              <w:rPr>
                <w:rFonts w:hint="eastAsia" w:ascii="仿宋_GB2312" w:hAnsi="仿宋_GB2312" w:eastAsia="仿宋_GB2312" w:cs="仿宋_GB2312"/>
                <w:spacing w:val="-2"/>
                <w:sz w:val="22"/>
                <w:szCs w:val="22"/>
              </w:rPr>
              <w:t>分且年度总扣分不超过</w:t>
            </w:r>
            <w:r>
              <w:rPr>
                <w:rFonts w:hint="eastAsia" w:ascii="仿宋_GB2312" w:hAnsi="仿宋_GB2312" w:eastAsia="仿宋_GB2312" w:cs="仿宋_GB2312"/>
                <w:spacing w:val="-43"/>
                <w:sz w:val="22"/>
                <w:szCs w:val="22"/>
              </w:rPr>
              <w:t xml:space="preserve"> </w:t>
            </w:r>
            <w:r>
              <w:rPr>
                <w:rFonts w:hint="eastAsia" w:ascii="仿宋_GB2312" w:hAnsi="仿宋_GB2312" w:eastAsia="仿宋_GB2312" w:cs="仿宋_GB2312"/>
                <w:spacing w:val="-2"/>
                <w:sz w:val="22"/>
                <w:szCs w:val="22"/>
              </w:rPr>
              <w:t>50</w:t>
            </w:r>
            <w:r>
              <w:rPr>
                <w:rFonts w:hint="eastAsia" w:ascii="仿宋_GB2312" w:hAnsi="仿宋_GB2312" w:eastAsia="仿宋_GB2312" w:cs="仿宋_GB2312"/>
                <w:spacing w:val="-44"/>
                <w:sz w:val="22"/>
                <w:szCs w:val="22"/>
              </w:rPr>
              <w:t xml:space="preserve"> </w:t>
            </w:r>
            <w:r>
              <w:rPr>
                <w:rFonts w:hint="eastAsia" w:ascii="仿宋_GB2312" w:hAnsi="仿宋_GB2312" w:eastAsia="仿宋_GB2312" w:cs="仿宋_GB2312"/>
                <w:spacing w:val="-2"/>
                <w:sz w:val="22"/>
                <w:szCs w:val="22"/>
              </w:rPr>
              <w:t>分的扣除年度服务</w:t>
            </w:r>
            <w:r>
              <w:rPr>
                <w:rFonts w:hint="eastAsia" w:ascii="仿宋_GB2312" w:hAnsi="仿宋_GB2312" w:eastAsia="仿宋_GB2312" w:cs="仿宋_GB2312"/>
                <w:spacing w:val="-3"/>
                <w:sz w:val="22"/>
                <w:szCs w:val="22"/>
              </w:rPr>
              <w:t>费的</w:t>
            </w:r>
            <w:r>
              <w:rPr>
                <w:rFonts w:hint="eastAsia" w:ascii="仿宋_GB2312" w:hAnsi="仿宋_GB2312" w:eastAsia="仿宋_GB2312" w:cs="仿宋_GB2312"/>
                <w:spacing w:val="-34"/>
                <w:sz w:val="22"/>
                <w:szCs w:val="22"/>
              </w:rPr>
              <w:t xml:space="preserve"> </w:t>
            </w:r>
            <w:r>
              <w:rPr>
                <w:rFonts w:hint="eastAsia" w:ascii="仿宋_GB2312" w:hAnsi="仿宋_GB2312" w:eastAsia="仿宋_GB2312" w:cs="仿宋_GB2312"/>
                <w:spacing w:val="-3"/>
                <w:sz w:val="22"/>
                <w:szCs w:val="22"/>
              </w:rPr>
              <w:t>10%，单项年度扣分</w:t>
            </w:r>
            <w:r>
              <w:rPr>
                <w:rFonts w:hint="eastAsia" w:ascii="仿宋_GB2312" w:hAnsi="仿宋_GB2312" w:eastAsia="仿宋_GB2312" w:cs="仿宋_GB2312"/>
                <w:spacing w:val="-33"/>
                <w:sz w:val="22"/>
                <w:szCs w:val="22"/>
              </w:rPr>
              <w:t xml:space="preserve"> </w:t>
            </w:r>
            <w:r>
              <w:rPr>
                <w:rFonts w:hint="eastAsia" w:ascii="仿宋_GB2312" w:hAnsi="仿宋_GB2312" w:eastAsia="仿宋_GB2312" w:cs="仿宋_GB2312"/>
                <w:spacing w:val="-3"/>
                <w:sz w:val="22"/>
                <w:szCs w:val="22"/>
              </w:rPr>
              <w:t>10-15</w:t>
            </w:r>
            <w:r>
              <w:rPr>
                <w:rFonts w:hint="eastAsia" w:ascii="仿宋_GB2312" w:hAnsi="仿宋_GB2312" w:eastAsia="仿宋_GB2312" w:cs="仿宋_GB2312"/>
                <w:spacing w:val="-43"/>
                <w:sz w:val="22"/>
                <w:szCs w:val="22"/>
              </w:rPr>
              <w:t xml:space="preserve"> </w:t>
            </w:r>
            <w:r>
              <w:rPr>
                <w:rFonts w:hint="eastAsia" w:ascii="仿宋_GB2312" w:hAnsi="仿宋_GB2312" w:eastAsia="仿宋_GB2312" w:cs="仿宋_GB2312"/>
                <w:spacing w:val="-3"/>
                <w:sz w:val="22"/>
                <w:szCs w:val="22"/>
              </w:rPr>
              <w:t>分且年</w:t>
            </w:r>
            <w:r>
              <w:rPr>
                <w:rFonts w:hint="eastAsia" w:ascii="仿宋_GB2312" w:hAnsi="仿宋_GB2312" w:eastAsia="仿宋_GB2312" w:cs="仿宋_GB2312"/>
                <w:spacing w:val="-2"/>
                <w:sz w:val="22"/>
                <w:szCs w:val="22"/>
              </w:rPr>
              <w:t>度总扣分不超过</w:t>
            </w:r>
            <w:r>
              <w:rPr>
                <w:rFonts w:hint="eastAsia" w:ascii="仿宋_GB2312" w:hAnsi="仿宋_GB2312" w:eastAsia="仿宋_GB2312" w:cs="仿宋_GB2312"/>
                <w:spacing w:val="-34"/>
                <w:sz w:val="22"/>
                <w:szCs w:val="22"/>
              </w:rPr>
              <w:t xml:space="preserve"> </w:t>
            </w:r>
            <w:r>
              <w:rPr>
                <w:rFonts w:hint="eastAsia" w:ascii="仿宋_GB2312" w:hAnsi="仿宋_GB2312" w:eastAsia="仿宋_GB2312" w:cs="仿宋_GB2312"/>
                <w:spacing w:val="-2"/>
                <w:sz w:val="22"/>
                <w:szCs w:val="22"/>
              </w:rPr>
              <w:t>80</w:t>
            </w:r>
            <w:r>
              <w:rPr>
                <w:rFonts w:hint="eastAsia" w:ascii="仿宋_GB2312" w:hAnsi="仿宋_GB2312" w:eastAsia="仿宋_GB2312" w:cs="仿宋_GB2312"/>
                <w:spacing w:val="-46"/>
                <w:sz w:val="22"/>
                <w:szCs w:val="22"/>
              </w:rPr>
              <w:t xml:space="preserve"> </w:t>
            </w:r>
            <w:r>
              <w:rPr>
                <w:rFonts w:hint="eastAsia" w:ascii="仿宋_GB2312" w:hAnsi="仿宋_GB2312" w:eastAsia="仿宋_GB2312" w:cs="仿宋_GB2312"/>
                <w:spacing w:val="-2"/>
                <w:sz w:val="22"/>
                <w:szCs w:val="22"/>
              </w:rPr>
              <w:t>分的扣除年度服务费的</w:t>
            </w:r>
            <w:r>
              <w:rPr>
                <w:rFonts w:hint="eastAsia" w:ascii="仿宋_GB2312" w:hAnsi="仿宋_GB2312" w:eastAsia="仿宋_GB2312" w:cs="仿宋_GB2312"/>
                <w:spacing w:val="-43"/>
                <w:sz w:val="22"/>
                <w:szCs w:val="22"/>
              </w:rPr>
              <w:t xml:space="preserve"> </w:t>
            </w:r>
            <w:r>
              <w:rPr>
                <w:rFonts w:hint="eastAsia" w:ascii="仿宋_GB2312" w:hAnsi="仿宋_GB2312" w:eastAsia="仿宋_GB2312" w:cs="仿宋_GB2312"/>
                <w:spacing w:val="-2"/>
                <w:sz w:val="22"/>
                <w:szCs w:val="22"/>
              </w:rPr>
              <w:t>30%，单项年度扣分</w:t>
            </w:r>
            <w:r>
              <w:rPr>
                <w:rFonts w:hint="eastAsia" w:ascii="仿宋_GB2312" w:hAnsi="仿宋_GB2312" w:eastAsia="仿宋_GB2312" w:cs="仿宋_GB2312"/>
                <w:spacing w:val="-33"/>
                <w:sz w:val="22"/>
                <w:szCs w:val="22"/>
              </w:rPr>
              <w:t xml:space="preserve"> </w:t>
            </w:r>
            <w:r>
              <w:rPr>
                <w:rFonts w:hint="eastAsia" w:ascii="仿宋_GB2312" w:hAnsi="仿宋_GB2312" w:eastAsia="仿宋_GB2312" w:cs="仿宋_GB2312"/>
                <w:spacing w:val="-2"/>
                <w:sz w:val="22"/>
                <w:szCs w:val="22"/>
              </w:rPr>
              <w:t>15</w:t>
            </w:r>
            <w:r>
              <w:rPr>
                <w:rFonts w:hint="eastAsia" w:ascii="仿宋_GB2312" w:hAnsi="仿宋_GB2312" w:eastAsia="仿宋_GB2312" w:cs="仿宋_GB2312"/>
                <w:spacing w:val="-44"/>
                <w:sz w:val="22"/>
                <w:szCs w:val="22"/>
              </w:rPr>
              <w:t xml:space="preserve"> </w:t>
            </w:r>
            <w:r>
              <w:rPr>
                <w:rFonts w:hint="eastAsia" w:ascii="仿宋_GB2312" w:hAnsi="仿宋_GB2312" w:eastAsia="仿宋_GB2312" w:cs="仿宋_GB2312"/>
                <w:spacing w:val="-2"/>
                <w:sz w:val="22"/>
                <w:szCs w:val="22"/>
              </w:rPr>
              <w:t>分以上且年度总扣分超过80分的扣除年度服务费的</w:t>
            </w:r>
            <w:r>
              <w:rPr>
                <w:rFonts w:hint="eastAsia" w:ascii="仿宋_GB2312" w:hAnsi="仿宋_GB2312" w:eastAsia="仿宋_GB2312" w:cs="仿宋_GB2312"/>
                <w:spacing w:val="-31"/>
                <w:sz w:val="22"/>
                <w:szCs w:val="22"/>
              </w:rPr>
              <w:t xml:space="preserve"> </w:t>
            </w:r>
            <w:r>
              <w:rPr>
                <w:rFonts w:hint="eastAsia" w:ascii="仿宋_GB2312" w:hAnsi="仿宋_GB2312" w:eastAsia="仿宋_GB2312" w:cs="仿宋_GB2312"/>
                <w:spacing w:val="-2"/>
                <w:sz w:val="22"/>
                <w:szCs w:val="22"/>
              </w:rPr>
              <w:t>50%，如单项年度扣分</w:t>
            </w:r>
            <w:r>
              <w:rPr>
                <w:rFonts w:hint="eastAsia" w:ascii="仿宋_GB2312" w:hAnsi="仿宋_GB2312" w:eastAsia="仿宋_GB2312" w:cs="仿宋_GB2312"/>
                <w:spacing w:val="-33"/>
                <w:sz w:val="22"/>
                <w:szCs w:val="22"/>
              </w:rPr>
              <w:t xml:space="preserve"> </w:t>
            </w:r>
            <w:r>
              <w:rPr>
                <w:rFonts w:hint="eastAsia" w:ascii="仿宋_GB2312" w:hAnsi="仿宋_GB2312" w:eastAsia="仿宋_GB2312" w:cs="仿宋_GB2312"/>
                <w:spacing w:val="-2"/>
                <w:sz w:val="22"/>
                <w:szCs w:val="22"/>
              </w:rPr>
              <w:t>15</w:t>
            </w:r>
            <w:r>
              <w:rPr>
                <w:rFonts w:hint="eastAsia" w:ascii="仿宋_GB2312" w:hAnsi="仿宋_GB2312" w:eastAsia="仿宋_GB2312" w:cs="仿宋_GB2312"/>
                <w:spacing w:val="-44"/>
                <w:sz w:val="22"/>
                <w:szCs w:val="22"/>
              </w:rPr>
              <w:t xml:space="preserve"> </w:t>
            </w:r>
            <w:r>
              <w:rPr>
                <w:rFonts w:hint="eastAsia" w:ascii="仿宋_GB2312" w:hAnsi="仿宋_GB2312" w:eastAsia="仿宋_GB2312" w:cs="仿宋_GB2312"/>
                <w:spacing w:val="-2"/>
                <w:sz w:val="22"/>
                <w:szCs w:val="22"/>
              </w:rPr>
              <w:t>分以上且年度总扣分超过</w:t>
            </w:r>
            <w:r>
              <w:rPr>
                <w:rFonts w:hint="eastAsia" w:ascii="仿宋_GB2312" w:hAnsi="仿宋_GB2312" w:eastAsia="仿宋_GB2312" w:cs="仿宋_GB2312"/>
                <w:spacing w:val="-49"/>
                <w:sz w:val="22"/>
                <w:szCs w:val="22"/>
              </w:rPr>
              <w:t xml:space="preserve"> </w:t>
            </w:r>
            <w:r>
              <w:rPr>
                <w:rFonts w:hint="eastAsia" w:ascii="仿宋_GB2312" w:hAnsi="仿宋_GB2312" w:eastAsia="仿宋_GB2312" w:cs="仿宋_GB2312"/>
                <w:spacing w:val="-2"/>
                <w:sz w:val="22"/>
                <w:szCs w:val="22"/>
              </w:rPr>
              <w:t>80</w:t>
            </w:r>
            <w:r>
              <w:rPr>
                <w:rFonts w:hint="eastAsia" w:ascii="仿宋_GB2312" w:hAnsi="仿宋_GB2312" w:eastAsia="仿宋_GB2312" w:cs="仿宋_GB2312"/>
                <w:spacing w:val="-44"/>
                <w:sz w:val="22"/>
                <w:szCs w:val="22"/>
              </w:rPr>
              <w:t xml:space="preserve"> </w:t>
            </w:r>
            <w:r>
              <w:rPr>
                <w:rFonts w:hint="eastAsia" w:ascii="仿宋_GB2312" w:hAnsi="仿宋_GB2312" w:eastAsia="仿宋_GB2312" w:cs="仿宋_GB2312"/>
                <w:spacing w:val="-2"/>
                <w:sz w:val="22"/>
                <w:szCs w:val="22"/>
              </w:rPr>
              <w:t>分且未到服务截</w:t>
            </w:r>
            <w:r>
              <w:rPr>
                <w:rFonts w:hint="eastAsia" w:ascii="仿宋_GB2312" w:hAnsi="仿宋_GB2312" w:eastAsia="仿宋_GB2312" w:cs="仿宋_GB2312"/>
                <w:spacing w:val="4"/>
                <w:sz w:val="22"/>
                <w:szCs w:val="22"/>
              </w:rPr>
              <w:t>止日期的有权单方解除合同。年度整体评价是每个需求单位在服务期内对服</w:t>
            </w:r>
            <w:r>
              <w:rPr>
                <w:rFonts w:hint="eastAsia" w:ascii="仿宋_GB2312" w:hAnsi="仿宋_GB2312" w:eastAsia="仿宋_GB2312" w:cs="仿宋_GB2312"/>
                <w:spacing w:val="3"/>
                <w:sz w:val="22"/>
                <w:szCs w:val="22"/>
              </w:rPr>
              <w:t>务单位的整体评</w:t>
            </w:r>
            <w:r>
              <w:rPr>
                <w:rFonts w:hint="eastAsia" w:ascii="仿宋_GB2312" w:hAnsi="仿宋_GB2312" w:eastAsia="仿宋_GB2312" w:cs="仿宋_GB2312"/>
                <w:sz w:val="22"/>
                <w:szCs w:val="22"/>
              </w:rPr>
              <w:t>价，独立于具体事项的评分，采取扣分制，具体审核内容未扣分不影响整体评价的扣分。</w:t>
            </w:r>
          </w:p>
        </w:tc>
      </w:tr>
    </w:tbl>
    <w:p w14:paraId="5E052C95">
      <w:pPr>
        <w:spacing w:before="190" w:line="277" w:lineRule="auto"/>
        <w:ind w:left="17" w:right="70" w:firstLine="655"/>
        <w:rPr>
          <w:rFonts w:ascii="FangSong_GB2312" w:hAnsi="FangSong_GB2312" w:eastAsia="FangSong_GB2312" w:cs="FangSong_GB2312"/>
          <w:sz w:val="31"/>
          <w:szCs w:val="31"/>
        </w:rPr>
      </w:pPr>
    </w:p>
    <w:p w14:paraId="5684E1AF">
      <w:pPr>
        <w:spacing w:line="277" w:lineRule="auto"/>
        <w:rPr>
          <w:rFonts w:ascii="FangSong_GB2312" w:hAnsi="FangSong_GB2312" w:eastAsia="FangSong_GB2312" w:cs="FangSong_GB2312"/>
          <w:sz w:val="31"/>
          <w:szCs w:val="31"/>
        </w:rPr>
        <w:sectPr>
          <w:footerReference r:id="rId5" w:type="default"/>
          <w:pgSz w:w="11906" w:h="16838"/>
          <w:pgMar w:top="1431" w:right="1402" w:bottom="1308" w:left="1590" w:header="0" w:footer="944" w:gutter="0"/>
          <w:pgNumType w:fmt="decimal"/>
          <w:cols w:space="720" w:num="1"/>
        </w:sectPr>
      </w:pPr>
    </w:p>
    <w:p w14:paraId="272B6422">
      <w:pPr>
        <w:spacing w:before="120" w:beforeLines="50" w:after="120" w:afterLines="50"/>
        <w:ind w:firstLine="0" w:firstLineChars="0"/>
        <w:rPr>
          <w:rFonts w:hint="eastAsia" w:ascii="仿宋_GB2312" w:hAnsi="仿宋_GB2312" w:eastAsia="仿宋_GB2312" w:cs="仿宋_GB2312"/>
          <w:b/>
          <w:bCs/>
          <w:szCs w:val="28"/>
        </w:rPr>
      </w:pPr>
      <w:r>
        <w:rPr>
          <w:rFonts w:hint="eastAsia" w:ascii="仿宋_GB2312" w:hAnsi="仿宋_GB2312" w:eastAsia="仿宋_GB2312" w:cs="仿宋_GB2312"/>
          <w:b/>
          <w:bCs/>
          <w:szCs w:val="28"/>
        </w:rPr>
        <w:t>附件</w:t>
      </w:r>
      <w:r>
        <w:rPr>
          <w:rFonts w:hint="eastAsia" w:ascii="仿宋_GB2312" w:hAnsi="仿宋_GB2312" w:eastAsia="仿宋_GB2312" w:cs="仿宋_GB2312"/>
          <w:b/>
          <w:bCs/>
          <w:szCs w:val="28"/>
          <w:lang w:val="en-US" w:eastAsia="zh-CN"/>
        </w:rPr>
        <w:t>3</w:t>
      </w:r>
      <w:r>
        <w:rPr>
          <w:rFonts w:hint="eastAsia" w:ascii="仿宋_GB2312" w:hAnsi="仿宋_GB2312" w:eastAsia="仿宋_GB2312" w:cs="仿宋_GB2312"/>
          <w:b/>
          <w:bCs/>
          <w:szCs w:val="28"/>
        </w:rPr>
        <w:t>：廉政协议书</w:t>
      </w:r>
    </w:p>
    <w:p w14:paraId="73EADE14">
      <w:pPr>
        <w:keepNext w:val="0"/>
        <w:keepLines w:val="0"/>
        <w:pageBreakBefore w:val="0"/>
        <w:widowControl w:val="0"/>
        <w:kinsoku/>
        <w:wordWrap/>
        <w:overflowPunct/>
        <w:topLinePunct w:val="0"/>
        <w:autoSpaceDE/>
        <w:autoSpaceDN/>
        <w:bidi w:val="0"/>
        <w:adjustRightInd/>
        <w:snapToGrid/>
        <w:spacing w:before="120" w:beforeLines="50" w:after="120" w:afterLines="50" w:line="576" w:lineRule="exact"/>
        <w:ind w:firstLine="562"/>
        <w:jc w:val="center"/>
        <w:textAlignment w:val="auto"/>
        <w:rPr>
          <w:rFonts w:hint="eastAsia" w:ascii="仿宋_GB2312" w:hAnsi="仿宋_GB2312" w:eastAsia="仿宋_GB2312" w:cs="仿宋_GB2312"/>
          <w:b/>
          <w:bCs/>
          <w:szCs w:val="28"/>
        </w:rPr>
      </w:pPr>
      <w:r>
        <w:rPr>
          <w:rFonts w:hint="eastAsia" w:ascii="仿宋_GB2312" w:hAnsi="仿宋_GB2312" w:eastAsia="仿宋_GB2312" w:cs="仿宋_GB2312"/>
          <w:b/>
          <w:bCs/>
          <w:szCs w:val="28"/>
        </w:rPr>
        <w:t>廉政协议书</w:t>
      </w:r>
    </w:p>
    <w:p w14:paraId="0242F658">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hint="eastAsia" w:ascii="仿宋_GB2312" w:hAnsi="仿宋_GB2312" w:eastAsia="仿宋_GB2312" w:cs="仿宋_GB2312"/>
          <w:b/>
          <w:bCs/>
          <w:szCs w:val="28"/>
        </w:rPr>
      </w:pPr>
      <w:r>
        <w:rPr>
          <w:rFonts w:hint="eastAsia" w:ascii="仿宋_GB2312" w:hAnsi="仿宋_GB2312" w:eastAsia="仿宋_GB2312" w:cs="仿宋_GB2312"/>
          <w:b/>
          <w:bCs/>
          <w:szCs w:val="28"/>
        </w:rPr>
        <w:t>甲方：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bCs/>
          <w:szCs w:val="28"/>
        </w:rPr>
        <w:t xml:space="preserve">                      </w:t>
      </w:r>
    </w:p>
    <w:p w14:paraId="28FA89FB">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hint="eastAsia" w:ascii="仿宋_GB2312" w:hAnsi="仿宋_GB2312" w:eastAsia="仿宋_GB2312" w:cs="仿宋_GB2312"/>
          <w:b/>
          <w:bCs/>
          <w:szCs w:val="28"/>
          <w:u w:val="single"/>
        </w:rPr>
      </w:pPr>
      <w:r>
        <w:rPr>
          <w:rFonts w:hint="eastAsia" w:ascii="仿宋_GB2312" w:hAnsi="仿宋_GB2312" w:eastAsia="仿宋_GB2312" w:cs="仿宋_GB2312"/>
          <w:b/>
          <w:bCs/>
          <w:szCs w:val="28"/>
        </w:rPr>
        <w:t>乙方：</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b/>
          <w:bCs/>
          <w:szCs w:val="28"/>
        </w:rPr>
        <w:t xml:space="preserve">                      </w:t>
      </w:r>
    </w:p>
    <w:p w14:paraId="4D0057B0">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为加强廉政建设,防止发生各种谋取不正当利益的违法违纪行为，保障顺畅的商业秩序和公平的商业环境，确保双方工作人员在合同履行过程中廉洁自律、诚实守信，保护双方的合法权益,经双方协定，签订本廉政协议书。</w:t>
      </w:r>
    </w:p>
    <w:p w14:paraId="649E6CFE">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hint="eastAsia" w:ascii="仿宋_GB2312" w:hAnsi="仿宋_GB2312" w:eastAsia="仿宋_GB2312" w:cs="仿宋_GB2312"/>
          <w:b/>
          <w:bCs/>
          <w:szCs w:val="28"/>
        </w:rPr>
      </w:pPr>
      <w:r>
        <w:rPr>
          <w:rFonts w:hint="eastAsia" w:ascii="仿宋_GB2312" w:hAnsi="仿宋_GB2312" w:eastAsia="仿宋_GB2312" w:cs="仿宋_GB2312"/>
          <w:b/>
          <w:bCs/>
          <w:szCs w:val="28"/>
        </w:rPr>
        <w:t>第一条 甲方与乙方双方责任</w:t>
      </w:r>
    </w:p>
    <w:p w14:paraId="06F31DEE">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（一）严格遵守国家法律法规以及廉政建设方面的有关规定。</w:t>
      </w:r>
    </w:p>
    <w:p w14:paraId="5BF9C63E">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（二）严格遵守《廉政制度》相关规定。</w:t>
      </w:r>
    </w:p>
    <w:p w14:paraId="133A2F4F">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（三）自确定合同主体、签订合同直至合同履行结束全过程，乙方和甲方双方应全面履行合同内容及廉政协议的各项规定，自觉按合同办事。</w:t>
      </w:r>
    </w:p>
    <w:p w14:paraId="7A9A949A">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（四）双方的业务活动坚持公开、公正、诚信、透明的原则，法律认定另有说明规定的商业秘密和合同文件除外。</w:t>
      </w:r>
    </w:p>
    <w:p w14:paraId="68694054">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（五）在业务活动中发现对方有违规、违纪、违法行为的，应及时提醒对方，情节严重的应向其上级主管部门或纪检监察部门举报。</w:t>
      </w:r>
    </w:p>
    <w:p w14:paraId="4691C1C5">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hint="eastAsia" w:ascii="仿宋_GB2312" w:hAnsi="仿宋_GB2312" w:eastAsia="仿宋_GB2312" w:cs="仿宋_GB2312"/>
          <w:b/>
          <w:bCs/>
          <w:szCs w:val="28"/>
        </w:rPr>
      </w:pPr>
      <w:r>
        <w:rPr>
          <w:rFonts w:hint="eastAsia" w:ascii="仿宋_GB2312" w:hAnsi="仿宋_GB2312" w:eastAsia="仿宋_GB2312" w:cs="仿宋_GB2312"/>
          <w:b/>
          <w:bCs/>
          <w:szCs w:val="28"/>
        </w:rPr>
        <w:t>第二条 甲方责任</w:t>
      </w:r>
    </w:p>
    <w:p w14:paraId="62757799">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甲方单位及工作人员在合同签订及履行过程中应做到：</w:t>
      </w:r>
    </w:p>
    <w:p w14:paraId="4321F962">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一）严格遵守廉洁从业各项规定，不得以任何形式向乙方索取和收受不正当利益，包括但不限于金钱和实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682AD3FD">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（二）不得在乙方单位及乙方所属单位报销任何应由甲方单位或个人支付的费用；</w:t>
      </w:r>
    </w:p>
    <w:p w14:paraId="7A2E8390">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（三）不得参加可能对公正执行公务有影响的宴请和娱乐活动；</w:t>
      </w:r>
    </w:p>
    <w:p w14:paraId="6BF1F7C0">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（四）除合同特别约定外，不得向乙方推销或指定使用各种材料及设备等。</w:t>
      </w:r>
    </w:p>
    <w:p w14:paraId="71980062">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hint="eastAsia" w:ascii="仿宋_GB2312" w:hAnsi="仿宋_GB2312" w:eastAsia="仿宋_GB2312" w:cs="仿宋_GB2312"/>
          <w:b/>
          <w:bCs/>
          <w:szCs w:val="28"/>
        </w:rPr>
      </w:pPr>
      <w:r>
        <w:rPr>
          <w:rFonts w:hint="eastAsia" w:ascii="仿宋_GB2312" w:hAnsi="仿宋_GB2312" w:eastAsia="仿宋_GB2312" w:cs="仿宋_GB2312"/>
          <w:b/>
          <w:bCs/>
          <w:szCs w:val="28"/>
        </w:rPr>
        <w:t>第三条 乙方责任</w:t>
      </w:r>
    </w:p>
    <w:p w14:paraId="523C7E13">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乙方单位及所属工作人员在合同签订及履行过程中应做到：</w:t>
      </w:r>
    </w:p>
    <w:p w14:paraId="3EBAFCBB">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（一）不得向甲方工作人员及第三方赠送礼品、礼金、有价证券、支付凭证等金钱或实物；</w:t>
      </w:r>
    </w:p>
    <w:p w14:paraId="734A72DB">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（三）不得为甲方单位或个人购置或者提供通信工具、交通工具、家电、高档办公用品等；</w:t>
      </w:r>
    </w:p>
    <w:p w14:paraId="5501008B">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（三）不得以任何形式、理由为甲方和相关单位报销应由甲方单位或工作人员支付的费用；</w:t>
      </w:r>
    </w:p>
    <w:p w14:paraId="3C20A784">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（四）不得组织有可能影响甲方工作人员履行公职职责或可能影响产品质量、廉政建设的宴请、旅游等各种高消费娱乐活动。</w:t>
      </w:r>
    </w:p>
    <w:p w14:paraId="1F7D7E28">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（五）不得为甲方工作人员住房装修、婚丧嫁娶、家属和子女的工作安排以及出国等提供方便。</w:t>
      </w:r>
    </w:p>
    <w:p w14:paraId="3916E698">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（六）如遇到甲方工作人员向乙方单位或个人索要任何不正当利益时，乙方单位或个人有义务向甲方举报。</w:t>
      </w:r>
    </w:p>
    <w:p w14:paraId="6CF5853D">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hint="eastAsia" w:ascii="仿宋_GB2312" w:hAnsi="仿宋_GB2312" w:eastAsia="仿宋_GB2312" w:cs="仿宋_GB2312"/>
          <w:b/>
          <w:bCs/>
          <w:szCs w:val="28"/>
        </w:rPr>
      </w:pPr>
      <w:r>
        <w:rPr>
          <w:rFonts w:hint="eastAsia" w:ascii="仿宋_GB2312" w:hAnsi="仿宋_GB2312" w:eastAsia="仿宋_GB2312" w:cs="仿宋_GB2312"/>
          <w:b/>
          <w:bCs/>
          <w:szCs w:val="28"/>
        </w:rPr>
        <w:t>第四条 违约责任</w:t>
      </w:r>
    </w:p>
    <w:p w14:paraId="787BDFED">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（一）甲方工作人员有违反本协议书责任行为的，按照管理权限，依据有关法律法规和规定，追究相关法律责任。涉嫌犯罪的，移交司法机关追究刑事责任；给乙方单位造成经济损失的，应予以赔偿。</w:t>
      </w:r>
    </w:p>
    <w:p w14:paraId="5238EAC4">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二）乙方工作人员或所属单位人员有违反本协议书责任行为的，甲方有权要求乙方承担主合同总金额30%的违约金；违约情况严重而被当地纪检、监察、检察机关立案调查的，除追究乙方的上述责任外，甲方有权终止与乙方签订的合作合同；违约金不足以弥补给甲方造成的实际经济损失的，乙方应当赔偿给甲方造成的实际经济损失。</w:t>
      </w:r>
    </w:p>
    <w:p w14:paraId="03A60B3B">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28"/>
        </w:rPr>
      </w:pPr>
      <w:r>
        <w:rPr>
          <w:rFonts w:hint="eastAsia" w:ascii="仿宋_GB2312" w:hAnsi="仿宋_GB2312" w:eastAsia="仿宋_GB2312" w:cs="仿宋_GB2312"/>
          <w:szCs w:val="28"/>
        </w:rPr>
        <w:t>（三）双方约定：本协议书由甲方与乙方双方上级主管部门担任监督单位。违约情况发生</w:t>
      </w:r>
      <w:r>
        <w:rPr>
          <w:rFonts w:hint="eastAsia" w:ascii="仿宋_GB2312" w:hAnsi="仿宋_GB2312" w:eastAsia="仿宋_GB2312" w:cs="仿宋_GB2312"/>
          <w:szCs w:val="28"/>
          <w:lang w:eastAsia="zh-CN"/>
        </w:rPr>
        <w:t>时</w:t>
      </w:r>
      <w:r>
        <w:rPr>
          <w:rFonts w:hint="eastAsia" w:ascii="仿宋_GB2312" w:hAnsi="仿宋_GB2312" w:eastAsia="仿宋_GB2312" w:cs="仿宋_GB2312"/>
          <w:szCs w:val="28"/>
        </w:rPr>
        <w:t xml:space="preserve">由双方监督单位对本协议书履行情况进行检查，提出在本承诺书规定范围内的裁定意见。  </w:t>
      </w:r>
    </w:p>
    <w:p w14:paraId="4438AE0D">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hint="eastAsia" w:ascii="仿宋_GB2312" w:hAnsi="仿宋_GB2312" w:eastAsia="仿宋_GB2312" w:cs="仿宋_GB2312"/>
          <w:szCs w:val="28"/>
        </w:rPr>
      </w:pPr>
      <w:r>
        <w:rPr>
          <w:rFonts w:hint="eastAsia" w:ascii="仿宋_GB2312" w:hAnsi="仿宋_GB2312" w:eastAsia="仿宋_GB2312" w:cs="仿宋_GB2312"/>
          <w:b/>
          <w:bCs/>
          <w:szCs w:val="28"/>
        </w:rPr>
        <w:t xml:space="preserve">第五条 </w:t>
      </w:r>
      <w:r>
        <w:rPr>
          <w:rFonts w:hint="eastAsia" w:ascii="仿宋_GB2312" w:hAnsi="仿宋_GB2312" w:eastAsia="仿宋_GB2312" w:cs="仿宋_GB2312"/>
          <w:szCs w:val="28"/>
        </w:rPr>
        <w:t>本协议书作为主合同的附件，与主合同具有同等法律效力，经双方盖章签字后生效。</w:t>
      </w:r>
    </w:p>
    <w:p w14:paraId="29884FF1">
      <w:pPr>
        <w:keepNext w:val="0"/>
        <w:keepLines w:val="0"/>
        <w:pageBreakBefore w:val="0"/>
        <w:widowControl w:val="0"/>
        <w:kinsoku/>
        <w:wordWrap/>
        <w:overflowPunct/>
        <w:topLinePunct w:val="0"/>
        <w:autoSpaceDE/>
        <w:autoSpaceDN/>
        <w:bidi w:val="0"/>
        <w:adjustRightInd/>
        <w:snapToGrid/>
        <w:spacing w:line="576" w:lineRule="exact"/>
        <w:ind w:firstLine="562"/>
        <w:textAlignment w:val="auto"/>
        <w:rPr>
          <w:rFonts w:hint="eastAsia" w:ascii="仿宋_GB2312" w:hAnsi="仿宋_GB2312" w:eastAsia="仿宋_GB2312" w:cs="仿宋_GB2312"/>
          <w:szCs w:val="28"/>
        </w:rPr>
      </w:pPr>
      <w:r>
        <w:rPr>
          <w:rFonts w:hint="eastAsia" w:ascii="仿宋_GB2312" w:hAnsi="仿宋_GB2312" w:eastAsia="仿宋_GB2312" w:cs="仿宋_GB2312"/>
          <w:b/>
          <w:bCs/>
          <w:szCs w:val="28"/>
        </w:rPr>
        <w:t xml:space="preserve">第六条 </w:t>
      </w:r>
      <w:r>
        <w:rPr>
          <w:rFonts w:hint="eastAsia" w:ascii="仿宋_GB2312" w:hAnsi="仿宋_GB2312" w:eastAsia="仿宋_GB2312" w:cs="仿宋_GB2312"/>
          <w:szCs w:val="28"/>
        </w:rPr>
        <w:t>本协议书的有效期与主合同的有效期一致。</w:t>
      </w:r>
    </w:p>
    <w:p w14:paraId="5FBE7AA7">
      <w:pPr>
        <w:adjustRightInd/>
        <w:spacing w:line="576" w:lineRule="exact"/>
        <w:ind w:firstLine="562"/>
        <w:textAlignment w:val="auto"/>
        <w:rPr>
          <w:rFonts w:hint="eastAsia" w:ascii="仿宋_GB2312" w:hAnsi="仿宋_GB2312" w:eastAsia="仿宋_GB2312" w:cs="仿宋_GB2312"/>
          <w:szCs w:val="28"/>
        </w:rPr>
      </w:pPr>
      <w:r>
        <w:rPr>
          <w:rFonts w:hint="eastAsia" w:ascii="仿宋_GB2312" w:hAnsi="仿宋_GB2312" w:eastAsia="仿宋_GB2312" w:cs="仿宋_GB2312"/>
          <w:b/>
          <w:bCs/>
          <w:szCs w:val="28"/>
        </w:rPr>
        <w:t xml:space="preserve">第七条 </w:t>
      </w:r>
      <w:r>
        <w:rPr>
          <w:rFonts w:hint="eastAsia" w:ascii="仿宋_GB2312" w:hAnsi="仿宋_GB2312" w:eastAsia="仿宋_GB2312" w:cs="仿宋_GB2312"/>
          <w:szCs w:val="28"/>
        </w:rPr>
        <w:t>未尽事宜，由双方协商解决。</w:t>
      </w:r>
    </w:p>
    <w:p w14:paraId="6676171D">
      <w:pPr>
        <w:adjustRightInd/>
        <w:spacing w:line="576" w:lineRule="exact"/>
        <w:ind w:firstLine="562"/>
        <w:textAlignment w:val="auto"/>
        <w:rPr>
          <w:rFonts w:hint="eastAsia" w:ascii="仿宋_GB2312" w:hAnsi="仿宋_GB2312" w:eastAsia="仿宋_GB2312" w:cs="仿宋_GB2312"/>
          <w:szCs w:val="28"/>
        </w:rPr>
      </w:pPr>
    </w:p>
    <w:p w14:paraId="58182770">
      <w:pPr>
        <w:adjustRightInd/>
        <w:spacing w:line="576" w:lineRule="exact"/>
        <w:ind w:firstLine="562"/>
        <w:textAlignment w:val="auto"/>
        <w:rPr>
          <w:rFonts w:hint="eastAsia" w:ascii="仿宋_GB2312" w:hAnsi="仿宋_GB2312" w:eastAsia="仿宋_GB2312" w:cs="仿宋_GB2312"/>
          <w:szCs w:val="28"/>
        </w:rPr>
      </w:pPr>
    </w:p>
    <w:p w14:paraId="22C40744">
      <w:pPr>
        <w:adjustRightInd/>
        <w:spacing w:line="576" w:lineRule="exact"/>
        <w:ind w:firstLine="562"/>
        <w:textAlignment w:val="auto"/>
        <w:rPr>
          <w:rFonts w:hint="eastAsia" w:ascii="仿宋_GB2312" w:hAnsi="仿宋_GB2312" w:eastAsia="仿宋_GB2312" w:cs="仿宋_GB2312"/>
          <w:szCs w:val="28"/>
        </w:rPr>
      </w:pPr>
    </w:p>
    <w:p w14:paraId="037C1F5B">
      <w:pPr>
        <w:adjustRightInd/>
        <w:spacing w:line="576" w:lineRule="exact"/>
        <w:ind w:firstLine="562"/>
        <w:textAlignment w:val="auto"/>
        <w:rPr>
          <w:rFonts w:hint="eastAsia" w:ascii="仿宋_GB2312" w:hAnsi="仿宋_GB2312" w:eastAsia="仿宋_GB2312" w:cs="仿宋_GB2312"/>
          <w:szCs w:val="28"/>
        </w:rPr>
      </w:pPr>
    </w:p>
    <w:tbl>
      <w:tblPr>
        <w:tblStyle w:val="10"/>
        <w:tblW w:w="0" w:type="auto"/>
        <w:tblInd w:w="0" w:type="dxa"/>
        <w:tblLayout w:type="fixed"/>
        <w:tblCellMar>
          <w:top w:w="0" w:type="dxa"/>
          <w:left w:w="108" w:type="dxa"/>
          <w:bottom w:w="0" w:type="dxa"/>
          <w:right w:w="108" w:type="dxa"/>
        </w:tblCellMar>
      </w:tblPr>
      <w:tblGrid>
        <w:gridCol w:w="4148"/>
        <w:gridCol w:w="4148"/>
      </w:tblGrid>
      <w:tr w14:paraId="5D976378">
        <w:tblPrEx>
          <w:tblCellMar>
            <w:top w:w="0" w:type="dxa"/>
            <w:left w:w="108" w:type="dxa"/>
            <w:bottom w:w="0" w:type="dxa"/>
            <w:right w:w="108" w:type="dxa"/>
          </w:tblCellMar>
        </w:tblPrEx>
        <w:tc>
          <w:tcPr>
            <w:tcW w:w="4148" w:type="dxa"/>
            <w:vAlign w:val="top"/>
          </w:tcPr>
          <w:p w14:paraId="405A58A6">
            <w:pPr>
              <w:ind w:firstLine="0" w:firstLineChars="0"/>
              <w:rPr>
                <w:rFonts w:ascii="仿宋" w:hAnsi="仿宋" w:eastAsia="仿宋"/>
                <w:b/>
                <w:bCs/>
                <w:sz w:val="30"/>
                <w:szCs w:val="30"/>
              </w:rPr>
            </w:pPr>
            <w:r>
              <w:rPr>
                <w:rFonts w:hint="eastAsia" w:ascii="仿宋" w:hAnsi="仿宋" w:eastAsia="仿宋"/>
                <w:b/>
                <w:bCs/>
                <w:sz w:val="30"/>
                <w:szCs w:val="30"/>
              </w:rPr>
              <w:t>甲方：（盖章）</w:t>
            </w:r>
          </w:p>
          <w:p w14:paraId="06E3B71D">
            <w:pPr>
              <w:ind w:firstLine="0" w:firstLineChars="0"/>
              <w:rPr>
                <w:rFonts w:ascii="仿宋" w:hAnsi="仿宋" w:eastAsia="仿宋"/>
                <w:sz w:val="30"/>
                <w:szCs w:val="30"/>
              </w:rPr>
            </w:pPr>
            <w:r>
              <w:rPr>
                <w:rFonts w:hint="eastAsia"/>
              </w:rPr>
              <w:t xml:space="preserve"> </w:t>
            </w:r>
            <w:r>
              <w:rPr>
                <w:rFonts w:ascii="仿宋" w:hAnsi="仿宋" w:eastAsia="仿宋"/>
                <w:b/>
                <w:bCs/>
                <w:szCs w:val="28"/>
              </w:rPr>
              <w:t xml:space="preserve">        </w:t>
            </w:r>
            <w:r>
              <w:rPr>
                <w:rFonts w:hint="eastAsia" w:ascii="仿宋" w:hAnsi="仿宋" w:eastAsia="仿宋"/>
                <w:b/>
                <w:bCs/>
                <w:szCs w:val="28"/>
              </w:rPr>
              <w:t xml:space="preserve">                       </w:t>
            </w:r>
          </w:p>
          <w:p w14:paraId="603B8D2A">
            <w:pPr>
              <w:ind w:firstLine="600"/>
              <w:rPr>
                <w:rFonts w:ascii="仿宋" w:hAnsi="仿宋" w:eastAsia="仿宋"/>
                <w:sz w:val="30"/>
                <w:szCs w:val="30"/>
              </w:rPr>
            </w:pPr>
          </w:p>
          <w:p w14:paraId="3A6587C3">
            <w:pPr>
              <w:ind w:firstLine="0" w:firstLineChars="0"/>
              <w:rPr>
                <w:rFonts w:ascii="仿宋" w:hAnsi="仿宋" w:eastAsia="仿宋"/>
                <w:b/>
                <w:bCs/>
                <w:sz w:val="30"/>
                <w:szCs w:val="30"/>
              </w:rPr>
            </w:pPr>
            <w:r>
              <w:rPr>
                <w:rFonts w:hint="eastAsia" w:ascii="仿宋" w:hAnsi="仿宋" w:eastAsia="仿宋"/>
                <w:b/>
                <w:bCs/>
                <w:sz w:val="30"/>
                <w:szCs w:val="30"/>
              </w:rPr>
              <w:t>法定代表人或其委托代理人：</w:t>
            </w:r>
          </w:p>
          <w:p w14:paraId="73D8D732">
            <w:pPr>
              <w:ind w:firstLine="602"/>
              <w:rPr>
                <w:rFonts w:ascii="仿宋" w:hAnsi="仿宋" w:eastAsia="仿宋"/>
                <w:b/>
                <w:bCs/>
                <w:sz w:val="30"/>
                <w:szCs w:val="30"/>
              </w:rPr>
            </w:pPr>
            <w:r>
              <w:rPr>
                <w:rFonts w:hint="eastAsia" w:ascii="仿宋" w:hAnsi="仿宋" w:eastAsia="仿宋"/>
                <w:b/>
                <w:bCs/>
                <w:sz w:val="30"/>
                <w:szCs w:val="30"/>
              </w:rPr>
              <w:t>（签字或盖章）</w:t>
            </w:r>
          </w:p>
          <w:p w14:paraId="3ED66412">
            <w:pPr>
              <w:ind w:firstLine="0" w:firstLineChars="0"/>
              <w:rPr>
                <w:rFonts w:ascii="仿宋" w:hAnsi="仿宋" w:eastAsia="仿宋"/>
                <w:sz w:val="30"/>
                <w:szCs w:val="30"/>
              </w:rPr>
            </w:pPr>
          </w:p>
        </w:tc>
        <w:tc>
          <w:tcPr>
            <w:tcW w:w="4148" w:type="dxa"/>
            <w:vAlign w:val="top"/>
          </w:tcPr>
          <w:p w14:paraId="4F701D98">
            <w:pPr>
              <w:ind w:firstLine="0" w:firstLineChars="0"/>
              <w:rPr>
                <w:rFonts w:ascii="仿宋" w:hAnsi="仿宋" w:eastAsia="仿宋"/>
                <w:b/>
                <w:bCs/>
                <w:sz w:val="30"/>
                <w:szCs w:val="30"/>
              </w:rPr>
            </w:pPr>
            <w:r>
              <w:rPr>
                <w:rFonts w:hint="eastAsia" w:ascii="仿宋" w:hAnsi="仿宋" w:eastAsia="仿宋"/>
                <w:b/>
                <w:bCs/>
                <w:sz w:val="30"/>
                <w:szCs w:val="30"/>
              </w:rPr>
              <w:t>乙方：（盖章）</w:t>
            </w:r>
          </w:p>
          <w:p w14:paraId="44DD0B8F">
            <w:pPr>
              <w:ind w:firstLine="0" w:firstLineChars="0"/>
              <w:rPr>
                <w:rFonts w:ascii="仿宋" w:hAnsi="仿宋" w:eastAsia="仿宋"/>
                <w:sz w:val="30"/>
                <w:szCs w:val="30"/>
              </w:rPr>
            </w:pPr>
            <w:r>
              <w:rPr>
                <w:rFonts w:ascii="仿宋" w:hAnsi="仿宋" w:eastAsia="仿宋"/>
                <w:b/>
                <w:bCs/>
                <w:szCs w:val="28"/>
              </w:rPr>
              <w:t xml:space="preserve">       </w:t>
            </w:r>
            <w:r>
              <w:rPr>
                <w:rFonts w:hint="eastAsia" w:ascii="仿宋" w:hAnsi="仿宋" w:eastAsia="仿宋"/>
                <w:b/>
                <w:bCs/>
                <w:szCs w:val="28"/>
              </w:rPr>
              <w:t xml:space="preserve">                          </w:t>
            </w:r>
          </w:p>
          <w:p w14:paraId="02ACAAFC">
            <w:pPr>
              <w:ind w:firstLine="0" w:firstLineChars="0"/>
              <w:rPr>
                <w:rFonts w:ascii="仿宋" w:hAnsi="仿宋" w:eastAsia="仿宋"/>
                <w:sz w:val="30"/>
                <w:szCs w:val="30"/>
              </w:rPr>
            </w:pPr>
          </w:p>
          <w:p w14:paraId="10C63A26">
            <w:pPr>
              <w:ind w:firstLine="0" w:firstLineChars="0"/>
              <w:rPr>
                <w:rFonts w:ascii="仿宋" w:hAnsi="仿宋" w:eastAsia="仿宋"/>
                <w:b/>
                <w:bCs/>
                <w:sz w:val="30"/>
                <w:szCs w:val="30"/>
              </w:rPr>
            </w:pPr>
            <w:r>
              <w:rPr>
                <w:rFonts w:hint="eastAsia" w:ascii="仿宋" w:hAnsi="仿宋" w:eastAsia="仿宋"/>
                <w:b/>
                <w:bCs/>
                <w:sz w:val="30"/>
                <w:szCs w:val="30"/>
              </w:rPr>
              <w:t>法定代表人或其委托代理人：</w:t>
            </w:r>
          </w:p>
          <w:p w14:paraId="4ABDB584">
            <w:pPr>
              <w:ind w:firstLine="602"/>
              <w:rPr>
                <w:rFonts w:ascii="仿宋" w:hAnsi="仿宋" w:eastAsia="仿宋"/>
                <w:b/>
                <w:bCs/>
                <w:sz w:val="30"/>
                <w:szCs w:val="30"/>
              </w:rPr>
            </w:pPr>
            <w:r>
              <w:rPr>
                <w:rFonts w:hint="eastAsia" w:ascii="仿宋" w:hAnsi="仿宋" w:eastAsia="仿宋"/>
                <w:b/>
                <w:bCs/>
                <w:sz w:val="30"/>
                <w:szCs w:val="30"/>
              </w:rPr>
              <w:t>（签字或盖章）</w:t>
            </w:r>
          </w:p>
          <w:p w14:paraId="70185F64">
            <w:pPr>
              <w:ind w:firstLine="0" w:firstLineChars="0"/>
              <w:rPr>
                <w:rFonts w:ascii="仿宋" w:hAnsi="仿宋" w:eastAsia="仿宋"/>
                <w:sz w:val="30"/>
                <w:szCs w:val="30"/>
              </w:rPr>
            </w:pPr>
          </w:p>
        </w:tc>
      </w:tr>
    </w:tbl>
    <w:p w14:paraId="17A4066E">
      <w:pPr>
        <w:pStyle w:val="2"/>
        <w:ind w:left="0" w:leftChars="0" w:firstLine="0" w:firstLineChars="0"/>
      </w:pPr>
    </w:p>
    <w:p w14:paraId="714863DA">
      <w:pPr>
        <w:spacing w:before="120" w:beforeLines="50" w:after="120" w:afterLines="50"/>
        <w:ind w:left="0" w:leftChars="0" w:firstLineChars="0"/>
        <w:rPr>
          <w:rFonts w:hint="eastAsia" w:ascii="仿宋_GB2312" w:hAnsi="仿宋_GB2312" w:eastAsia="仿宋_GB2312" w:cs="仿宋_GB2312"/>
          <w:b/>
          <w:bCs/>
          <w:sz w:val="28"/>
        </w:rPr>
      </w:pPr>
      <w:r>
        <w:rPr>
          <w:rFonts w:hint="eastAsia"/>
          <w:b/>
          <w:bCs/>
          <w:sz w:val="28"/>
        </w:rPr>
        <w:br w:type="page"/>
      </w:r>
      <w:r>
        <w:rPr>
          <w:rFonts w:hint="eastAsia" w:ascii="仿宋_GB2312" w:hAnsi="仿宋_GB2312" w:eastAsia="仿宋_GB2312" w:cs="仿宋_GB2312"/>
          <w:b/>
          <w:bCs/>
          <w:sz w:val="21"/>
          <w:szCs w:val="28"/>
        </w:rPr>
        <w:t>附件</w:t>
      </w:r>
      <w:r>
        <w:rPr>
          <w:rFonts w:hint="eastAsia" w:ascii="仿宋_GB2312" w:hAnsi="仿宋_GB2312" w:eastAsia="仿宋_GB2312" w:cs="仿宋_GB2312"/>
          <w:b/>
          <w:bCs/>
          <w:sz w:val="21"/>
          <w:szCs w:val="28"/>
          <w:lang w:val="en-US" w:eastAsia="zh-CN"/>
        </w:rPr>
        <w:t>4</w:t>
      </w:r>
      <w:r>
        <w:rPr>
          <w:rFonts w:hint="eastAsia" w:ascii="仿宋_GB2312" w:hAnsi="仿宋_GB2312" w:eastAsia="仿宋_GB2312" w:cs="仿宋_GB2312"/>
          <w:b/>
          <w:bCs/>
          <w:sz w:val="21"/>
          <w:szCs w:val="28"/>
        </w:rPr>
        <w:t>：保密承诺函</w:t>
      </w:r>
    </w:p>
    <w:p w14:paraId="6CC6197C">
      <w:pPr>
        <w:ind w:firstLine="723"/>
        <w:jc w:val="center"/>
        <w:rPr>
          <w:rFonts w:hint="eastAsia" w:ascii="仿宋_GB2312" w:hAnsi="仿宋_GB2312" w:eastAsia="仿宋_GB2312" w:cs="仿宋_GB2312"/>
          <w:b/>
          <w:bCs/>
          <w:sz w:val="36"/>
          <w:szCs w:val="40"/>
        </w:rPr>
      </w:pPr>
      <w:r>
        <w:rPr>
          <w:rFonts w:hint="eastAsia" w:ascii="仿宋_GB2312" w:hAnsi="仿宋_GB2312" w:eastAsia="仿宋_GB2312" w:cs="仿宋_GB2312"/>
          <w:b/>
          <w:bCs/>
          <w:sz w:val="36"/>
          <w:szCs w:val="40"/>
        </w:rPr>
        <w:t>保密承诺函</w:t>
      </w:r>
    </w:p>
    <w:p w14:paraId="322E362D">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32"/>
        </w:rPr>
      </w:pPr>
    </w:p>
    <w:p w14:paraId="3E0A98F5">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致：</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w:t>
      </w:r>
      <w:r>
        <w:rPr>
          <w:rFonts w:hint="eastAsia" w:ascii="仿宋_GB2312" w:hAnsi="仿宋_GB2312" w:eastAsia="仿宋_GB2312" w:cs="仿宋_GB2312"/>
          <w:sz w:val="28"/>
          <w:szCs w:val="22"/>
          <w:lang w:val="en-US" w:eastAsia="zh-CN" w:bidi="zh-CN"/>
        </w:rPr>
        <w:t xml:space="preserve"> </w:t>
      </w:r>
      <w:r>
        <w:rPr>
          <w:rFonts w:hint="eastAsia" w:ascii="仿宋_GB2312" w:hAnsi="仿宋_GB2312" w:eastAsia="仿宋_GB2312" w:cs="仿宋_GB2312"/>
          <w:szCs w:val="32"/>
        </w:rPr>
        <w:t xml:space="preserve">                         </w:t>
      </w:r>
    </w:p>
    <w:p w14:paraId="7F795506">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我司受</w:t>
      </w: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（以下简称“甲方”）委托，负责</w:t>
      </w:r>
      <w:r>
        <w:rPr>
          <w:rFonts w:hint="eastAsia" w:ascii="仿宋_GB2312" w:hAnsi="仿宋_GB2312" w:eastAsia="仿宋_GB2312" w:cs="仿宋_GB2312"/>
          <w:sz w:val="28"/>
          <w:szCs w:val="28"/>
          <w:u w:val="single"/>
          <w:lang w:val="en-US" w:eastAsia="zh-CN" w:bidi="zh-CN"/>
        </w:rPr>
        <w:t xml:space="preserve">                               </w:t>
      </w:r>
      <w:r>
        <w:rPr>
          <w:rFonts w:hint="eastAsia" w:ascii="仿宋_GB2312" w:hAnsi="仿宋_GB2312" w:eastAsia="仿宋_GB2312" w:cs="仿宋_GB2312"/>
          <w:szCs w:val="32"/>
        </w:rPr>
        <w:t>工作，我司在此承诺：</w:t>
      </w:r>
    </w:p>
    <w:p w14:paraId="1B564647">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1.</w:t>
      </w:r>
      <w:r>
        <w:rPr>
          <w:rFonts w:hint="eastAsia" w:ascii="仿宋_GB2312" w:hAnsi="仿宋_GB2312" w:eastAsia="仿宋_GB2312" w:cs="仿宋_GB2312"/>
          <w:szCs w:val="32"/>
        </w:rPr>
        <w:t>保密信息是指在履行本合同过程中获得的甲方及利益相关方的一切非公开资料、信息，包括但不限于关于本项目基础资料及数据，以及本合同内容等，我司对保密信息负有保密义务，我司承诺不以任何方式（包括但不限于复制、仿造等）将保密信息泄露给本合同以外的任何人，不将保密信息用于本项目以外的其他用途。</w:t>
      </w:r>
    </w:p>
    <w:p w14:paraId="4426911C">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2.</w:t>
      </w:r>
      <w:r>
        <w:rPr>
          <w:rFonts w:hint="eastAsia" w:ascii="仿宋_GB2312" w:hAnsi="仿宋_GB2312" w:eastAsia="仿宋_GB2312" w:cs="仿宋_GB2312"/>
          <w:szCs w:val="32"/>
        </w:rPr>
        <w:t>我司承担保密义务直到至本条款中所称的保密信息进入公示领域或甲方将这些保密信息公开为止，不因本合同终止或履行完毕而终止。</w:t>
      </w:r>
    </w:p>
    <w:p w14:paraId="175D7418">
      <w:pPr>
        <w:keepNext w:val="0"/>
        <w:keepLines w:val="0"/>
        <w:pageBreakBefore w:val="0"/>
        <w:widowControl w:val="0"/>
        <w:kinsoku/>
        <w:wordWrap/>
        <w:overflowPunct/>
        <w:topLinePunct w:val="0"/>
        <w:autoSpaceDE/>
        <w:autoSpaceDN/>
        <w:bidi w:val="0"/>
        <w:adjustRightInd/>
        <w:snapToGrid/>
        <w:spacing w:line="576" w:lineRule="exact"/>
        <w:ind w:firstLine="56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lang w:eastAsia="zh-CN"/>
        </w:rPr>
        <w:t>3.</w:t>
      </w:r>
      <w:r>
        <w:rPr>
          <w:rFonts w:hint="eastAsia" w:ascii="仿宋_GB2312" w:hAnsi="仿宋_GB2312" w:eastAsia="仿宋_GB2312" w:cs="仿宋_GB2312"/>
          <w:szCs w:val="32"/>
        </w:rPr>
        <w:t>我司充分了解并知悉，若违反前述承诺，将会损害甲方利益，给甲方带来严重的经济损失或负面影响，我司承担由此引起的所有责任和经济损失，甲方有权依据本承诺函追究我司责任。同时我司愿意承担因违反前述承诺及约定，导致甲方支出的诉讼费、保全费、评估费、鉴定费、调查费、公证费、律师费，以及向第三方支付的赔偿、为应对第三方的指控而支付的一切费用等。</w:t>
      </w:r>
    </w:p>
    <w:p w14:paraId="225DD0A9">
      <w:pPr>
        <w:ind w:firstLine="560"/>
        <w:rPr>
          <w:rFonts w:hint="eastAsia" w:ascii="仿宋_GB2312" w:hAnsi="仿宋_GB2312" w:eastAsia="仿宋_GB2312" w:cs="仿宋_GB2312"/>
          <w:szCs w:val="32"/>
        </w:rPr>
      </w:pPr>
    </w:p>
    <w:p w14:paraId="299F5589">
      <w:pPr>
        <w:pStyle w:val="13"/>
        <w:keepNext w:val="0"/>
        <w:keepLines w:val="0"/>
        <w:pageBreakBefore w:val="0"/>
        <w:widowControl w:val="0"/>
        <w:kinsoku/>
        <w:wordWrap/>
        <w:overflowPunct/>
        <w:topLinePunct w:val="0"/>
        <w:autoSpaceDE w:val="0"/>
        <w:autoSpaceDN w:val="0"/>
        <w:bidi w:val="0"/>
        <w:spacing w:line="520" w:lineRule="exact"/>
        <w:ind w:left="0" w:right="0" w:firstLine="1470" w:firstLineChars="700"/>
        <w:jc w:val="center"/>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Cs w:val="32"/>
          <w:lang w:val="en-US" w:eastAsia="zh-CN"/>
        </w:rPr>
        <w:t xml:space="preserve">  </w:t>
      </w:r>
      <w:r>
        <w:rPr>
          <w:rFonts w:hint="eastAsia" w:ascii="仿宋_GB2312" w:hAnsi="仿宋_GB2312" w:eastAsia="仿宋_GB2312" w:cs="仿宋_GB2312"/>
          <w:szCs w:val="32"/>
        </w:rPr>
        <w:t>承诺人名称：</w:t>
      </w:r>
    </w:p>
    <w:p w14:paraId="279E84A1">
      <w:pPr>
        <w:pStyle w:val="13"/>
        <w:keepNext w:val="0"/>
        <w:keepLines w:val="0"/>
        <w:pageBreakBefore w:val="0"/>
        <w:widowControl w:val="0"/>
        <w:kinsoku/>
        <w:wordWrap/>
        <w:overflowPunct/>
        <w:topLinePunct w:val="0"/>
        <w:autoSpaceDE w:val="0"/>
        <w:autoSpaceDN w:val="0"/>
        <w:bidi w:val="0"/>
        <w:spacing w:line="520" w:lineRule="exact"/>
        <w:ind w:left="0" w:right="0" w:firstLine="1960" w:firstLineChars="700"/>
        <w:jc w:val="center"/>
        <w:textAlignment w:val="auto"/>
        <w:rPr>
          <w:rFonts w:ascii="Times New Roman" w:hAnsi="Times New Roman" w:eastAsia="仿宋_GB2312" w:cs="Times New Roman"/>
          <w:color w:val="000000" w:themeColor="text1"/>
          <w:sz w:val="28"/>
          <w:szCs w:val="28"/>
          <w14:textFill>
            <w14:solidFill>
              <w14:schemeClr w14:val="tx1"/>
            </w14:solidFill>
          </w14:textFill>
        </w:rPr>
      </w:pPr>
    </w:p>
    <w:p w14:paraId="0F845833">
      <w:pPr>
        <w:autoSpaceDE/>
        <w:autoSpaceDN/>
        <w:spacing w:line="240" w:lineRule="auto"/>
        <w:ind w:left="0" w:leftChars="0" w:firstLine="0" w:firstLineChars="0"/>
        <w:textAlignment w:val="auto"/>
        <w:rPr>
          <w:rFonts w:hint="eastAsia"/>
          <w:lang w:val="en-US" w:eastAsia="zh-CN"/>
        </w:rPr>
      </w:pPr>
      <w:r>
        <w:rPr>
          <w:rFonts w:hint="eastAsia"/>
          <w:lang w:val="en-US" w:eastAsia="zh-CN"/>
        </w:rPr>
        <w:br w:type="page"/>
      </w:r>
    </w:p>
    <w:p w14:paraId="52A941CD">
      <w:pPr>
        <w:spacing w:before="120" w:beforeLines="50" w:after="120" w:afterLines="50"/>
        <w:rPr>
          <w:rFonts w:hint="eastAsia" w:ascii="仿宋_GB2312" w:hAnsi="仿宋_GB2312" w:eastAsia="仿宋_GB2312" w:cs="仿宋_GB2312"/>
          <w:b/>
          <w:bCs/>
          <w:kern w:val="2"/>
          <w:sz w:val="21"/>
          <w:szCs w:val="28"/>
          <w:u w:val="none"/>
          <w:lang w:bidi="zh-CN"/>
        </w:rPr>
      </w:pPr>
      <w:r>
        <w:rPr>
          <w:rFonts w:hint="eastAsia" w:ascii="仿宋_GB2312" w:hAnsi="仿宋_GB2312" w:eastAsia="仿宋_GB2312" w:cs="仿宋_GB2312"/>
          <w:b/>
          <w:bCs/>
          <w:kern w:val="2"/>
          <w:sz w:val="21"/>
          <w:szCs w:val="28"/>
          <w:u w:val="none"/>
          <w:lang w:val="en-US" w:eastAsia="zh-CN" w:bidi="zh-CN"/>
        </w:rPr>
        <w:t>附件5：供应商信用承诺函</w:t>
      </w:r>
    </w:p>
    <w:p w14:paraId="69881EDB">
      <w:pPr>
        <w:pStyle w:val="2"/>
        <w:rPr>
          <w:rFonts w:hint="eastAsia" w:ascii="仿宋_GB2312" w:hAnsi="仿宋_GB2312" w:eastAsia="仿宋_GB2312" w:cs="仿宋_GB2312"/>
          <w:sz w:val="28"/>
          <w:szCs w:val="28"/>
        </w:rPr>
      </w:pPr>
    </w:p>
    <w:p w14:paraId="0BC03D4C">
      <w:pPr>
        <w:jc w:val="center"/>
        <w:rPr>
          <w:rFonts w:hint="eastAsia" w:ascii="仿宋_GB2312" w:hAnsi="仿宋_GB2312" w:eastAsia="仿宋_GB2312" w:cs="仿宋_GB2312"/>
          <w:b/>
          <w:bCs/>
          <w:color w:val="auto"/>
          <w:kern w:val="2"/>
          <w:sz w:val="28"/>
          <w:szCs w:val="28"/>
          <w:highlight w:val="none"/>
          <w:lang w:val="en-US" w:eastAsia="zh-CN" w:bidi="ar-SA"/>
        </w:rPr>
      </w:pPr>
      <w:bookmarkStart w:id="0" w:name="OLE_LINK1"/>
      <w:r>
        <w:rPr>
          <w:rFonts w:hint="eastAsia" w:ascii="仿宋_GB2312" w:hAnsi="仿宋_GB2312" w:eastAsia="仿宋_GB2312" w:cs="仿宋_GB2312"/>
          <w:b/>
          <w:bCs/>
          <w:color w:val="auto"/>
          <w:kern w:val="2"/>
          <w:sz w:val="28"/>
          <w:szCs w:val="28"/>
          <w:highlight w:val="none"/>
          <w:lang w:val="en-US" w:eastAsia="zh-CN" w:bidi="ar-SA"/>
        </w:rPr>
        <w:t>供应商信用承诺函</w:t>
      </w:r>
    </w:p>
    <w:p w14:paraId="6FB72C3B">
      <w:pPr>
        <w:jc w:val="center"/>
        <w:rPr>
          <w:rFonts w:hint="default" w:ascii="仿宋_GB2312" w:hAnsi="仿宋_GB2312" w:eastAsia="仿宋_GB2312" w:cs="仿宋_GB2312"/>
          <w:b/>
          <w:bCs/>
          <w:snapToGrid/>
          <w:color w:val="auto"/>
          <w:spacing w:val="0"/>
          <w:kern w:val="2"/>
          <w:sz w:val="32"/>
          <w:szCs w:val="32"/>
          <w:highlight w:val="none"/>
          <w:lang w:val="en-US" w:eastAsia="zh-CN" w:bidi="ar-SA"/>
        </w:rPr>
      </w:pPr>
      <w:r>
        <w:rPr>
          <w:rFonts w:hint="default" w:ascii="仿宋_GB2312" w:hAnsi="仿宋_GB2312" w:eastAsia="仿宋_GB2312" w:cs="仿宋_GB2312"/>
          <w:b w:val="0"/>
          <w:bCs w:val="0"/>
          <w:snapToGrid/>
          <w:color w:val="auto"/>
          <w:spacing w:val="0"/>
          <w:kern w:val="2"/>
          <w:sz w:val="24"/>
          <w:szCs w:val="24"/>
          <w:highlight w:val="none"/>
          <w:lang w:val="en-US" w:eastAsia="zh-CN" w:bidi="ar-SA"/>
        </w:rPr>
        <w:t>​</w:t>
      </w:r>
    </w:p>
    <w:p w14:paraId="30986173">
      <w:pPr>
        <w:pStyle w:val="13"/>
        <w:spacing w:line="576" w:lineRule="exact"/>
        <w:ind w:firstLine="0" w:firstLineChars="0"/>
        <w:jc w:val="left"/>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致：海口市君成产业服务股份有限公司​</w:t>
      </w:r>
    </w:p>
    <w:p w14:paraId="743E27DD">
      <w:pPr>
        <w:pStyle w:val="13"/>
        <w:keepNext w:val="0"/>
        <w:keepLines w:val="0"/>
        <w:pageBreakBefore w:val="0"/>
        <w:widowControl w:val="0"/>
        <w:kinsoku/>
        <w:wordWrap/>
        <w:overflowPunct/>
        <w:topLinePunct w:val="0"/>
        <w:autoSpaceDE/>
        <w:autoSpaceDN/>
        <w:bidi w:val="0"/>
        <w:adjustRightInd/>
        <w:snapToGrid/>
        <w:spacing w:line="576" w:lineRule="exact"/>
        <w:ind w:firstLine="630" w:firstLineChars="3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u w:val="none"/>
          <w:lang w:val="en-US" w:eastAsia="zh-CN" w:bidi="ar-SA"/>
        </w:rPr>
        <w:t>我司</w:t>
      </w:r>
      <w:r>
        <w:rPr>
          <w:rFonts w:hint="eastAsia" w:ascii="仿宋_GB2312" w:hAnsi="仿宋_GB2312" w:eastAsia="仿宋_GB2312" w:cs="仿宋_GB2312"/>
          <w:color w:val="auto"/>
          <w:kern w:val="2"/>
          <w:sz w:val="21"/>
          <w:szCs w:val="21"/>
          <w:highlight w:val="none"/>
          <w:lang w:val="en-US" w:eastAsia="zh-CN" w:bidi="ar-SA"/>
        </w:rPr>
        <w:t>参与</w:t>
      </w:r>
      <w:r>
        <w:rPr>
          <w:rFonts w:hint="eastAsia" w:ascii="仿宋_GB2312" w:hAnsi="仿宋_GB2312" w:eastAsia="仿宋_GB2312" w:cs="仿宋_GB2312"/>
          <w:color w:val="auto"/>
          <w:kern w:val="2"/>
          <w:sz w:val="21"/>
          <w:szCs w:val="21"/>
          <w:highlight w:val="none"/>
          <w:u w:val="single"/>
          <w:lang w:val="en-US" w:eastAsia="zh-CN" w:bidi="ar-SA"/>
        </w:rPr>
        <w:t>海口市君成产业服务股份有限公司2026-2027年度常年法律顾问项目</w:t>
      </w:r>
      <w:r>
        <w:rPr>
          <w:rFonts w:hint="eastAsia" w:ascii="仿宋_GB2312" w:hAnsi="仿宋_GB2312" w:eastAsia="仿宋_GB2312" w:cs="仿宋_GB2312"/>
          <w:color w:val="auto"/>
          <w:kern w:val="2"/>
          <w:sz w:val="21"/>
          <w:szCs w:val="21"/>
          <w:highlight w:val="none"/>
          <w:lang w:val="en-US" w:eastAsia="zh-CN" w:bidi="ar-SA"/>
        </w:rPr>
        <w:t>竞价比选活动，现我方郑重承诺如下：</w:t>
      </w:r>
    </w:p>
    <w:p w14:paraId="169FD287">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一、截至本承诺函签署之日，我方不存在下列情形：</w:t>
      </w:r>
    </w:p>
    <w:p w14:paraId="0D057495">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（一）供应商相互串通投标或者与采购人串通投标的，供应商向采购人或者评标委员会成员行贿的；</w:t>
      </w:r>
    </w:p>
    <w:p w14:paraId="0154CB47">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（二）以他人名义投标、提供虚假材料或者以其他方式弄虚作假的；</w:t>
      </w:r>
    </w:p>
    <w:p w14:paraId="50A84245">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（三）出让或者出租资格、资质证书供他人投标的；</w:t>
      </w:r>
    </w:p>
    <w:p w14:paraId="3943FF9A">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（四）供应商或者其他利害关系人捏造事实、伪造材料或者以非法手段取得证明材料进行投诉，给他人造成损失的；</w:t>
      </w:r>
    </w:p>
    <w:p w14:paraId="0C1FE28A">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（五）成交人将成交项目转让给他人的，将成交项目肢解后分别转让给他人的，违反《中华人民共和国招标投标法》规定将成交项目的部分主体、关键性工作分包给他人的，或者分包人再次分包的；</w:t>
      </w:r>
    </w:p>
    <w:p w14:paraId="329BBE29">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（六）成交人无正当理由不与采购人订立合同，在签订合同时向采购人提出附加条件，或者不按照采购文件要求提交履约保证金的；</w:t>
      </w:r>
    </w:p>
    <w:p w14:paraId="3F55FE0B">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（七）拒绝有关部门监督检查或者提供虚假情况的；</w:t>
      </w:r>
    </w:p>
    <w:p w14:paraId="34343D81">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（八）提供假冒伪劣产品；</w:t>
      </w:r>
    </w:p>
    <w:p w14:paraId="1DE8F7C7">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（九）无正当理由擅自变更、中止或者终止合同；</w:t>
      </w:r>
    </w:p>
    <w:p w14:paraId="3750A567">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（十）因供应商原因发生较大及以上安全、质量、环保事故（政府主管部门定性）；</w:t>
      </w:r>
    </w:p>
    <w:p w14:paraId="7FB0BB74">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（十一）框架协议采购项目在框架协议期内拒绝接受采购订单数量达3个的；</w:t>
      </w:r>
    </w:p>
    <w:p w14:paraId="74944FE6">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（十二）泄露海口市产业发展投资集团有限公司或子公司的商业秘密，产生不良影响的；</w:t>
      </w:r>
    </w:p>
    <w:p w14:paraId="6C5F65B3">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（十三）因供应商自身或其分包单位原因在项目实施过程中产生上访、围堵、重大舆情等恶性事件，影响海口市产业发展投资集团有限公司或子公司声誉的；</w:t>
      </w:r>
    </w:p>
    <w:p w14:paraId="738E0F48">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（十四）擅自更换核心团队/主设备品牌，降低配置，构成实质性违约的；</w:t>
      </w:r>
    </w:p>
    <w:p w14:paraId="1CD945E3">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（十五）报价失误、漏项导致合同无法履行，又不接受调价或终止合同的；</w:t>
      </w:r>
    </w:p>
    <w:p w14:paraId="6D17205F">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（十六）其他违反国家法律、法规行为的。</w:t>
      </w:r>
    </w:p>
    <w:p w14:paraId="566882B3">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二、我方已充分知晓并同意：若</w:t>
      </w:r>
      <w:r>
        <w:rPr>
          <w:rFonts w:hint="eastAsia" w:ascii="仿宋_GB2312" w:hAnsi="仿宋_GB2312" w:eastAsia="仿宋_GB2312" w:cs="仿宋_GB2312"/>
          <w:kern w:val="2"/>
          <w:sz w:val="21"/>
          <w:szCs w:val="21"/>
          <w:lang w:val="en-US" w:eastAsia="zh-CN" w:bidi="ar-SA"/>
        </w:rPr>
        <w:t>贵司</w:t>
      </w:r>
      <w:r>
        <w:rPr>
          <w:rFonts w:hint="eastAsia" w:ascii="仿宋_GB2312" w:hAnsi="仿宋_GB2312" w:eastAsia="仿宋_GB2312" w:cs="仿宋_GB2312"/>
          <w:color w:val="auto"/>
          <w:kern w:val="2"/>
          <w:sz w:val="21"/>
          <w:szCs w:val="21"/>
          <w:highlight w:val="none"/>
          <w:lang w:val="en-US" w:eastAsia="zh-CN" w:bidi="ar-SA"/>
        </w:rPr>
        <w:t>发现我方存在上述情形之一的，无论本项目进展至何种阶段（包括但不限于响应文件递交、评审、结果公示、合同签订等），</w:t>
      </w:r>
      <w:r>
        <w:rPr>
          <w:rFonts w:hint="eastAsia" w:ascii="仿宋_GB2312" w:hAnsi="仿宋_GB2312" w:eastAsia="仿宋_GB2312" w:cs="仿宋_GB2312"/>
          <w:kern w:val="2"/>
          <w:sz w:val="21"/>
          <w:szCs w:val="21"/>
          <w:lang w:val="en-US" w:eastAsia="zh-CN" w:bidi="ar-SA"/>
        </w:rPr>
        <w:t>贵司</w:t>
      </w:r>
      <w:r>
        <w:rPr>
          <w:rFonts w:hint="eastAsia" w:ascii="仿宋_GB2312" w:hAnsi="仿宋_GB2312" w:eastAsia="仿宋_GB2312" w:cs="仿宋_GB2312"/>
          <w:color w:val="auto"/>
          <w:kern w:val="2"/>
          <w:sz w:val="21"/>
          <w:szCs w:val="21"/>
          <w:highlight w:val="none"/>
          <w:lang w:val="en-US" w:eastAsia="zh-CN" w:bidi="ar-SA"/>
        </w:rPr>
        <w:t>均有权将我方纳入</w:t>
      </w:r>
      <w:r>
        <w:rPr>
          <w:rFonts w:hint="eastAsia" w:ascii="仿宋_GB2312" w:hAnsi="仿宋_GB2312" w:eastAsia="仿宋_GB2312" w:cs="仿宋_GB2312"/>
          <w:kern w:val="2"/>
          <w:sz w:val="21"/>
          <w:szCs w:val="21"/>
          <w:lang w:val="en-US" w:eastAsia="zh-CN" w:bidi="ar-SA"/>
        </w:rPr>
        <w:t>海口市产业发展投资集团有限公司</w:t>
      </w:r>
      <w:r>
        <w:rPr>
          <w:rFonts w:hint="eastAsia" w:ascii="仿宋_GB2312" w:hAnsi="仿宋_GB2312" w:eastAsia="仿宋_GB2312" w:cs="仿宋_GB2312"/>
          <w:color w:val="auto"/>
          <w:kern w:val="2"/>
          <w:sz w:val="21"/>
          <w:szCs w:val="21"/>
          <w:highlight w:val="none"/>
          <w:lang w:val="en-US" w:eastAsia="zh-CN" w:bidi="ar-SA"/>
        </w:rPr>
        <w:t xml:space="preserve">不良信用主体名单库，并按以下方式处理： </w:t>
      </w:r>
    </w:p>
    <w:p w14:paraId="1B597DC9">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（一）已提交响应文件的供应商尚未完成评审的，作否决响应资格处理；</w:t>
      </w:r>
    </w:p>
    <w:p w14:paraId="1CC60DDA">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（二）尚未发出成交（入围）通知书的，取消成交（入围）资格；</w:t>
      </w:r>
    </w:p>
    <w:p w14:paraId="31BA3DD4">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（三）已签订框架协议的，不授予新的订单。</w:t>
      </w:r>
    </w:p>
    <w:p w14:paraId="16FFE3E7">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同时，我方将承担由此给采购人、采购代理机构造成的全部损失（包括但不限于重新采购的费用、工期延误损失等）。</w:t>
      </w:r>
    </w:p>
    <w:p w14:paraId="183D3950">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三、我方保证本承诺函内容真实、准确、完整，不存在任何虚假陈述、隐瞒事实或误导性表述等情形。若本承诺函内容与事实不符，我方自愿接受相关行政监督部门的处罚，并承担由此产生的全部法律责任（包括但不限于对采购人的违约赔偿责任、相应的行政处罚责任等）。</w:t>
      </w:r>
    </w:p>
    <w:p w14:paraId="57A78FEA">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四、本承诺函自我方法定代表人或授权代表人签字并加盖公章之日起生效，对我方具有法律约束力。​</w:t>
      </w:r>
    </w:p>
    <w:p w14:paraId="7BB80CA2">
      <w:pPr>
        <w:pStyle w:val="13"/>
        <w:keepNext w:val="0"/>
        <w:keepLines w:val="0"/>
        <w:pageBreakBefore w:val="0"/>
        <w:widowControl w:val="0"/>
        <w:kinsoku/>
        <w:wordWrap/>
        <w:overflowPunct/>
        <w:topLinePunct w:val="0"/>
        <w:autoSpaceDE/>
        <w:autoSpaceDN/>
        <w:bidi w:val="0"/>
        <w:adjustRightInd/>
        <w:snapToGrid/>
        <w:spacing w:line="576" w:lineRule="exact"/>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特此承诺！​</w:t>
      </w:r>
    </w:p>
    <w:bookmarkEnd w:id="0"/>
    <w:p w14:paraId="3F263343">
      <w:pPr>
        <w:pStyle w:val="13"/>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p>
    <w:p w14:paraId="1BB781B3">
      <w:pPr>
        <w:pStyle w:val="13"/>
        <w:keepNext w:val="0"/>
        <w:keepLines w:val="0"/>
        <w:pageBreakBefore w:val="0"/>
        <w:widowControl w:val="0"/>
        <w:kinsoku/>
        <w:wordWrap/>
        <w:overflowPunct/>
        <w:topLinePunct w:val="0"/>
        <w:autoSpaceDE/>
        <w:autoSpaceDN/>
        <w:bidi w:val="0"/>
        <w:adjustRightInd/>
        <w:snapToGrid/>
        <w:ind w:firstLine="420" w:firstLineChars="200"/>
        <w:jc w:val="left"/>
        <w:textAlignment w:val="auto"/>
        <w:outlineLvl w:val="1"/>
        <w:rPr>
          <w:rFonts w:hint="eastAsia" w:ascii="仿宋_GB2312" w:hAnsi="仿宋_GB2312" w:eastAsia="仿宋_GB2312" w:cs="仿宋_GB2312"/>
          <w:color w:val="auto"/>
          <w:kern w:val="2"/>
          <w:sz w:val="21"/>
          <w:szCs w:val="21"/>
          <w:highlight w:val="none"/>
          <w:lang w:val="en-US" w:eastAsia="zh-CN" w:bidi="ar-SA"/>
        </w:rPr>
      </w:pPr>
    </w:p>
    <w:p w14:paraId="68301B52">
      <w:pPr>
        <w:pStyle w:val="13"/>
        <w:ind w:firstLine="0" w:firstLineChars="0"/>
        <w:jc w:val="center"/>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 xml:space="preserve">                          供应商：</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ascii="仿宋_GB2312" w:hAnsi="仿宋_GB2312" w:eastAsia="仿宋_GB2312" w:cs="仿宋_GB2312"/>
          <w:color w:val="auto"/>
          <w:kern w:val="2"/>
          <w:sz w:val="21"/>
          <w:szCs w:val="21"/>
          <w:highlight w:val="none"/>
          <w:lang w:val="en-US" w:eastAsia="zh-CN" w:bidi="ar-SA"/>
        </w:rPr>
        <w:t>（盖单位章）</w:t>
      </w:r>
    </w:p>
    <w:p w14:paraId="78DA9E8D">
      <w:pPr>
        <w:pStyle w:val="13"/>
        <w:ind w:firstLine="0" w:firstLineChars="0"/>
        <w:jc w:val="center"/>
        <w:outlineLvl w:val="1"/>
        <w:rPr>
          <w:rFonts w:hint="eastAsia" w:ascii="仿宋_GB2312" w:hAnsi="仿宋_GB2312" w:eastAsia="仿宋_GB2312" w:cs="仿宋_GB2312"/>
          <w:color w:val="auto"/>
          <w:kern w:val="2"/>
          <w:sz w:val="21"/>
          <w:szCs w:val="21"/>
          <w:highlight w:val="none"/>
          <w:lang w:val="en-US" w:eastAsia="zh-CN" w:bidi="ar-SA"/>
        </w:rPr>
      </w:pPr>
    </w:p>
    <w:p w14:paraId="5EA96D0E">
      <w:pPr>
        <w:pStyle w:val="13"/>
        <w:ind w:firstLine="0" w:firstLineChars="0"/>
        <w:jc w:val="center"/>
        <w:outlineLvl w:val="1"/>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 xml:space="preserve">                                 法定代表人或其委托代理人：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ascii="仿宋_GB2312" w:hAnsi="仿宋_GB2312" w:eastAsia="仿宋_GB2312" w:cs="仿宋_GB2312"/>
          <w:color w:val="auto"/>
          <w:kern w:val="2"/>
          <w:sz w:val="21"/>
          <w:szCs w:val="21"/>
          <w:highlight w:val="none"/>
          <w:lang w:val="en-US" w:eastAsia="zh-CN" w:bidi="ar-SA"/>
        </w:rPr>
        <w:t>（签字）</w:t>
      </w:r>
    </w:p>
    <w:p w14:paraId="3B0815EB">
      <w:pPr>
        <w:pStyle w:val="13"/>
        <w:ind w:firstLine="0" w:firstLineChars="0"/>
        <w:jc w:val="right"/>
        <w:outlineLvl w:val="1"/>
        <w:rPr>
          <w:rFonts w:hint="eastAsia" w:ascii="仿宋_GB2312" w:hAnsi="仿宋_GB2312" w:eastAsia="仿宋_GB2312" w:cs="仿宋_GB2312"/>
          <w:color w:val="auto"/>
          <w:kern w:val="2"/>
          <w:sz w:val="21"/>
          <w:szCs w:val="21"/>
          <w:highlight w:val="none"/>
          <w:lang w:val="en-US" w:eastAsia="zh-CN" w:bidi="ar-SA"/>
        </w:rPr>
      </w:pPr>
    </w:p>
    <w:p w14:paraId="05FE75C1">
      <w:pPr>
        <w:tabs>
          <w:tab w:val="center" w:pos="4725"/>
        </w:tabs>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kern w:val="2"/>
          <w:sz w:val="21"/>
          <w:szCs w:val="21"/>
          <w:highlight w:val="none"/>
          <w:lang w:val="en-US" w:eastAsia="zh-CN" w:bidi="ar-SA"/>
        </w:rPr>
        <w:t xml:space="preserve">                                                    年   月   日</w:t>
      </w:r>
    </w:p>
    <w:sectPr>
      <w:footerReference r:id="rId6" w:type="default"/>
      <w:pgSz w:w="11906" w:h="16838"/>
      <w:pgMar w:top="1440" w:right="1417" w:bottom="1440"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大标宋_GBK">
    <w:altName w:val="宋体"/>
    <w:panose1 w:val="00000000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FangSong_GB2312">
    <w:altName w:val="仿宋_GB2312"/>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18BC5">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91A99">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0A91A99">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6390">
    <w:pPr>
      <w:spacing w:line="233" w:lineRule="auto"/>
      <w:ind w:left="7636"/>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C88EF1">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BC88EF1">
                    <w:pPr>
                      <w:pStyle w:val="6"/>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4EE541">
    <w:pPr>
      <w:spacing w:line="233" w:lineRule="auto"/>
      <w:ind w:left="145"/>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8D764">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1E8E1">
                          <w:pPr>
                            <w:pStyle w:val="6"/>
                            <w:rPr>
                              <w:rFonts w:ascii="宋体" w:hAnsi="宋体" w:eastAsia="宋体" w:cs="Times New Roman"/>
                              <w:sz w:val="28"/>
                            </w:rPr>
                          </w:pPr>
                          <w:r>
                            <w:rPr>
                              <w:rFonts w:ascii="宋体" w:hAnsi="宋体" w:eastAsia="宋体" w:cs="Times New Roman"/>
                              <w:sz w:val="28"/>
                            </w:rPr>
                            <w:t>—</w:t>
                          </w:r>
                          <w:r>
                            <w:rPr>
                              <w:rFonts w:ascii="宋体" w:hAnsi="宋体" w:eastAsia="宋体" w:cs="Times New Roman"/>
                              <w:sz w:val="24"/>
                            </w:rPr>
                            <w:t>　</w:t>
                          </w: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r>
                            <w:rPr>
                              <w:rFonts w:ascii="宋体" w:hAnsi="宋体" w:eastAsia="宋体" w:cs="Times New Roman"/>
                              <w:sz w:val="24"/>
                            </w:rPr>
                            <w:t>　</w:t>
                          </w:r>
                          <w:r>
                            <w:rPr>
                              <w:rFonts w:ascii="宋体" w:hAnsi="宋体" w:eastAsia="宋体" w:cs="Times New Roman"/>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B1E8E1">
                    <w:pPr>
                      <w:pStyle w:val="6"/>
                      <w:rPr>
                        <w:rFonts w:ascii="宋体" w:hAnsi="宋体" w:eastAsia="宋体" w:cs="Times New Roman"/>
                        <w:sz w:val="28"/>
                      </w:rPr>
                    </w:pPr>
                    <w:r>
                      <w:rPr>
                        <w:rFonts w:ascii="宋体" w:hAnsi="宋体" w:eastAsia="宋体" w:cs="Times New Roman"/>
                        <w:sz w:val="28"/>
                      </w:rPr>
                      <w:t>—</w:t>
                    </w:r>
                    <w:r>
                      <w:rPr>
                        <w:rFonts w:ascii="宋体" w:hAnsi="宋体" w:eastAsia="宋体" w:cs="Times New Roman"/>
                        <w:sz w:val="24"/>
                      </w:rPr>
                      <w:t>　</w:t>
                    </w:r>
                    <w:r>
                      <w:rPr>
                        <w:rFonts w:ascii="宋体" w:hAnsi="宋体" w:eastAsia="宋体" w:cs="Times New Roman"/>
                        <w:sz w:val="28"/>
                      </w:rPr>
                      <w:fldChar w:fldCharType="begin"/>
                    </w:r>
                    <w:r>
                      <w:rPr>
                        <w:rFonts w:ascii="宋体" w:hAnsi="宋体" w:eastAsia="宋体" w:cs="Times New Roman"/>
                        <w:sz w:val="28"/>
                      </w:rPr>
                      <w:instrText xml:space="preserve"> PAGE  \* MERGEFORMAT </w:instrText>
                    </w:r>
                    <w:r>
                      <w:rPr>
                        <w:rFonts w:ascii="宋体" w:hAnsi="宋体" w:eastAsia="宋体" w:cs="Times New Roman"/>
                        <w:sz w:val="28"/>
                      </w:rPr>
                      <w:fldChar w:fldCharType="separate"/>
                    </w:r>
                    <w:r>
                      <w:rPr>
                        <w:rFonts w:ascii="宋体" w:hAnsi="宋体" w:eastAsia="宋体" w:cs="Times New Roman"/>
                        <w:sz w:val="28"/>
                      </w:rPr>
                      <w:t>1</w:t>
                    </w:r>
                    <w:r>
                      <w:rPr>
                        <w:rFonts w:ascii="宋体" w:hAnsi="宋体" w:eastAsia="宋体" w:cs="Times New Roman"/>
                        <w:sz w:val="28"/>
                      </w:rPr>
                      <w:fldChar w:fldCharType="end"/>
                    </w:r>
                    <w:r>
                      <w:rPr>
                        <w:rFonts w:ascii="宋体" w:hAnsi="宋体" w:eastAsia="宋体" w:cs="Times New Roman"/>
                        <w:sz w:val="24"/>
                      </w:rPr>
                      <w:t>　</w:t>
                    </w:r>
                    <w:r>
                      <w:rPr>
                        <w:rFonts w:ascii="宋体" w:hAnsi="宋体" w:eastAsia="宋体" w:cs="Times New Roman"/>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78D5E1"/>
    <w:multiLevelType w:val="singleLevel"/>
    <w:tmpl w:val="C978D5E1"/>
    <w:lvl w:ilvl="0" w:tentative="0">
      <w:start w:val="1"/>
      <w:numFmt w:val="decimal"/>
      <w:suff w:val="space"/>
      <w:lvlText w:val="%1."/>
      <w:lvlJc w:val="left"/>
      <w:pPr>
        <w:ind w:left="0" w:leftChars="0" w:firstLine="0" w:firstLineChars="0"/>
      </w:pPr>
    </w:lvl>
  </w:abstractNum>
  <w:abstractNum w:abstractNumId="1">
    <w:nsid w:val="F75148F3"/>
    <w:multiLevelType w:val="singleLevel"/>
    <w:tmpl w:val="F75148F3"/>
    <w:lvl w:ilvl="0" w:tentative="0">
      <w:start w:val="1"/>
      <w:numFmt w:val="decimal"/>
      <w:suff w:val="space"/>
      <w:lvlText w:val="%1."/>
      <w:lvlJc w:val="left"/>
      <w:pPr>
        <w:ind w:left="0" w:firstLine="0"/>
      </w:pPr>
    </w:lvl>
  </w:abstractNum>
  <w:abstractNum w:abstractNumId="2">
    <w:nsid w:val="FAA2BF73"/>
    <w:multiLevelType w:val="singleLevel"/>
    <w:tmpl w:val="FAA2BF73"/>
    <w:lvl w:ilvl="0" w:tentative="0">
      <w:start w:val="1"/>
      <w:numFmt w:val="decimal"/>
      <w:suff w:val="space"/>
      <w:lvlText w:val="%1."/>
      <w:lvlJc w:val="left"/>
      <w:pPr>
        <w:ind w:left="0" w:firstLine="0"/>
      </w:pPr>
    </w:lvl>
  </w:abstractNum>
  <w:abstractNum w:abstractNumId="3">
    <w:nsid w:val="1F8D5638"/>
    <w:multiLevelType w:val="singleLevel"/>
    <w:tmpl w:val="1F8D5638"/>
    <w:lvl w:ilvl="0" w:tentative="0">
      <w:start w:val="6"/>
      <w:numFmt w:val="chineseCounting"/>
      <w:suff w:val="nothing"/>
      <w:lvlText w:val="（%1）"/>
      <w:lvlJc w:val="left"/>
      <w:rPr>
        <w:rFonts w:hint="eastAsia"/>
      </w:rPr>
    </w:lvl>
  </w:abstractNum>
  <w:abstractNum w:abstractNumId="4">
    <w:nsid w:val="7271D011"/>
    <w:multiLevelType w:val="singleLevel"/>
    <w:tmpl w:val="7271D011"/>
    <w:lvl w:ilvl="0" w:tentative="0">
      <w:start w:val="1"/>
      <w:numFmt w:val="decimal"/>
      <w:suff w:val="space"/>
      <w:lvlText w:val="%1."/>
      <w:lvlJc w:val="left"/>
      <w:pPr>
        <w:ind w:left="0" w:firstLine="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zNDllYTZlNjQwNzUxNGQ0YjgyYjE3MWQ2ZDBkZjcifQ=="/>
  </w:docVars>
  <w:rsids>
    <w:rsidRoot w:val="023623B7"/>
    <w:rsid w:val="00071331"/>
    <w:rsid w:val="003E01AD"/>
    <w:rsid w:val="00FE5C38"/>
    <w:rsid w:val="014667EC"/>
    <w:rsid w:val="019C09DA"/>
    <w:rsid w:val="01E579A2"/>
    <w:rsid w:val="023623B7"/>
    <w:rsid w:val="0270400B"/>
    <w:rsid w:val="03084AEF"/>
    <w:rsid w:val="049B3C55"/>
    <w:rsid w:val="0706007F"/>
    <w:rsid w:val="089F78DF"/>
    <w:rsid w:val="09250146"/>
    <w:rsid w:val="094F66FE"/>
    <w:rsid w:val="0DFC4D74"/>
    <w:rsid w:val="0F286CC7"/>
    <w:rsid w:val="0F7560C5"/>
    <w:rsid w:val="11B8096D"/>
    <w:rsid w:val="15543DCE"/>
    <w:rsid w:val="15680001"/>
    <w:rsid w:val="157A194A"/>
    <w:rsid w:val="159314BA"/>
    <w:rsid w:val="17F67FF4"/>
    <w:rsid w:val="18BC7B23"/>
    <w:rsid w:val="18BD2DF1"/>
    <w:rsid w:val="194F5913"/>
    <w:rsid w:val="1A365800"/>
    <w:rsid w:val="1A48674E"/>
    <w:rsid w:val="1B0C329D"/>
    <w:rsid w:val="1B3773F0"/>
    <w:rsid w:val="1B515AD1"/>
    <w:rsid w:val="1C16204C"/>
    <w:rsid w:val="1C8A3CD5"/>
    <w:rsid w:val="1E1E4764"/>
    <w:rsid w:val="2032241A"/>
    <w:rsid w:val="20711CD8"/>
    <w:rsid w:val="207C3F6A"/>
    <w:rsid w:val="20DD3B9C"/>
    <w:rsid w:val="210A5641"/>
    <w:rsid w:val="21461012"/>
    <w:rsid w:val="22EC16C0"/>
    <w:rsid w:val="238A752E"/>
    <w:rsid w:val="27257379"/>
    <w:rsid w:val="27A82F6A"/>
    <w:rsid w:val="28A013AD"/>
    <w:rsid w:val="2AC72EA4"/>
    <w:rsid w:val="2B462DCC"/>
    <w:rsid w:val="2C870B22"/>
    <w:rsid w:val="2E372137"/>
    <w:rsid w:val="2EAE2349"/>
    <w:rsid w:val="2FBC45F2"/>
    <w:rsid w:val="32F17343"/>
    <w:rsid w:val="332F6523"/>
    <w:rsid w:val="34D40AE7"/>
    <w:rsid w:val="35E87EEF"/>
    <w:rsid w:val="37C972F7"/>
    <w:rsid w:val="37FF6801"/>
    <w:rsid w:val="38E04FCE"/>
    <w:rsid w:val="39AB7ACC"/>
    <w:rsid w:val="3B977AE1"/>
    <w:rsid w:val="3BC7779B"/>
    <w:rsid w:val="3BC949FA"/>
    <w:rsid w:val="3E1B0B74"/>
    <w:rsid w:val="3E435D80"/>
    <w:rsid w:val="3EB14288"/>
    <w:rsid w:val="40BC36F8"/>
    <w:rsid w:val="41170399"/>
    <w:rsid w:val="415B1EBD"/>
    <w:rsid w:val="425C7907"/>
    <w:rsid w:val="43BB3965"/>
    <w:rsid w:val="440A4B78"/>
    <w:rsid w:val="44C2391C"/>
    <w:rsid w:val="450C44BC"/>
    <w:rsid w:val="454925FC"/>
    <w:rsid w:val="47167450"/>
    <w:rsid w:val="48957D35"/>
    <w:rsid w:val="4A0F4B94"/>
    <w:rsid w:val="4BCF4EBA"/>
    <w:rsid w:val="4C8B19C3"/>
    <w:rsid w:val="4F9B79ED"/>
    <w:rsid w:val="4FE571E1"/>
    <w:rsid w:val="506F29D0"/>
    <w:rsid w:val="50FB1B0E"/>
    <w:rsid w:val="5195707E"/>
    <w:rsid w:val="530242B9"/>
    <w:rsid w:val="53876E78"/>
    <w:rsid w:val="54160245"/>
    <w:rsid w:val="55001387"/>
    <w:rsid w:val="5540198F"/>
    <w:rsid w:val="584C03BD"/>
    <w:rsid w:val="58BB7B9D"/>
    <w:rsid w:val="595B6B61"/>
    <w:rsid w:val="59D90748"/>
    <w:rsid w:val="5B1967C5"/>
    <w:rsid w:val="5C1C70B0"/>
    <w:rsid w:val="5C606821"/>
    <w:rsid w:val="5E426F07"/>
    <w:rsid w:val="5E930A90"/>
    <w:rsid w:val="601F2E6C"/>
    <w:rsid w:val="60BD61EA"/>
    <w:rsid w:val="6146003C"/>
    <w:rsid w:val="62107606"/>
    <w:rsid w:val="62BE7346"/>
    <w:rsid w:val="645F3DD7"/>
    <w:rsid w:val="64AF4E3A"/>
    <w:rsid w:val="64BC5026"/>
    <w:rsid w:val="697D0C9E"/>
    <w:rsid w:val="69FC41FA"/>
    <w:rsid w:val="6A1727D5"/>
    <w:rsid w:val="6C6A0E2B"/>
    <w:rsid w:val="6CE86A7A"/>
    <w:rsid w:val="6DC60275"/>
    <w:rsid w:val="6DD315AE"/>
    <w:rsid w:val="6E913CF0"/>
    <w:rsid w:val="735E66F5"/>
    <w:rsid w:val="73991C5D"/>
    <w:rsid w:val="73C74C45"/>
    <w:rsid w:val="77BC7347"/>
    <w:rsid w:val="77E464B7"/>
    <w:rsid w:val="783E5E82"/>
    <w:rsid w:val="78436FB0"/>
    <w:rsid w:val="7A553FEC"/>
    <w:rsid w:val="7B1672CE"/>
    <w:rsid w:val="7D3923AB"/>
    <w:rsid w:val="7D40373A"/>
    <w:rsid w:val="7D74080B"/>
    <w:rsid w:val="7FCF7D77"/>
    <w:rsid w:val="FFEDE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adjustRightInd w:val="0"/>
      <w:ind w:firstLine="420"/>
      <w:textAlignment w:val="baseline"/>
    </w:pPr>
    <w:rPr>
      <w:rFonts w:ascii="宋体" w:hAnsi="Times New Roman" w:eastAsia="仿宋"/>
      <w:kern w:val="0"/>
      <w:sz w:val="24"/>
      <w:szCs w:val="21"/>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28"/>
      <w:szCs w:val="28"/>
      <w:lang w:val="zh-CN" w:bidi="zh-CN"/>
    </w:rPr>
  </w:style>
  <w:style w:type="paragraph" w:styleId="5">
    <w:name w:val="Body Text Indent"/>
    <w:basedOn w:val="1"/>
    <w:qFormat/>
    <w:uiPriority w:val="0"/>
    <w:pPr>
      <w:ind w:firstLine="540" w:firstLineChars="257"/>
    </w:pPr>
    <w:rPr>
      <w:kern w:val="0"/>
      <w:sz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w:basedOn w:val="4"/>
    <w:qFormat/>
    <w:uiPriority w:val="0"/>
    <w:pPr>
      <w:spacing w:after="0"/>
      <w:ind w:firstLine="720"/>
    </w:pPr>
    <w:rPr>
      <w:rFonts w:eastAsia="方正仿宋_GBK"/>
      <w:sz w:val="30"/>
    </w:rPr>
  </w:style>
  <w:style w:type="paragraph" w:customStyle="1" w:styleId="12">
    <w:name w:val="Table Paragraph"/>
    <w:basedOn w:val="1"/>
    <w:autoRedefine/>
    <w:qFormat/>
    <w:uiPriority w:val="1"/>
    <w:pPr>
      <w:spacing w:before="105"/>
      <w:ind w:left="50"/>
    </w:pPr>
    <w:rPr>
      <w:rFonts w:ascii="仿宋_GB2312" w:hAnsi="仿宋_GB2312" w:eastAsia="仿宋_GB2312" w:cs="仿宋_GB2312"/>
      <w:lang w:val="zh-CN" w:bidi="zh-CN"/>
    </w:rPr>
  </w:style>
  <w:style w:type="paragraph" w:customStyle="1" w:styleId="13">
    <w:name w:val="1"/>
    <w:basedOn w:val="1"/>
    <w:qFormat/>
    <w:uiPriority w:val="0"/>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b3812807-f6d0-43b2-8487-591da32113fd</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2C84D577</paraID>
      <start>0</start>
      <end>3</end>
      <status>unmodified</status>
      <modifiedWord/>
      <trackRevisions>false</trackRevisions>
    </reviewItem>
    <reviewItem>
      <errorID>7f36ea2d-a24f-423d-9373-15021fbf2aeb</errorID>
      <errorWord>:</errorWord>
      <group>L1_Format</group>
      <groupName>格式问题</groupName>
      <ability>L2_HalfPunc</ability>
      <abilityName>全半角检查</abilityName>
      <candidateList>
        <item>：</item>
      </candidateList>
      <explain>文本全半角错误。</explain>
      <paraID>2C84D577</paraID>
      <start>24</start>
      <end>25</end>
      <status>unmodified</status>
      <modifiedWord/>
      <trackRevisions>false</trackRevisions>
    </reviewItem>
    <reviewItem>
      <errorID>c8a1bb39-0033-4a3a-a087-dfc8440fdd05</errorID>
      <errorWord>,</errorWord>
      <group>L1_Format</group>
      <groupName>格式问题</groupName>
      <ability>L2_HalfPunc</ability>
      <abilityName>全半角检查</abilityName>
      <candidateList>
        <item>，</item>
      </candidateList>
      <explain>文本全半角错误。</explain>
      <paraID>45D318B1</paraID>
      <start>18</start>
      <end>19</end>
      <status>unmodified</status>
      <modifiedWord/>
      <trackRevisions>false</trackRevisions>
    </reviewItem>
    <reviewItem>
      <errorID>91fe0689-94eb-40e1-adb3-cd301e91e9df</errorID>
      <errorWord>(</errorWord>
      <group>L1_Format</group>
      <groupName>格式问题</groupName>
      <ability>L2_HalfPunc</ability>
      <abilityName>全半角检查</abilityName>
      <candidateList>
        <item>（</item>
      </candidateList>
      <explain>文本全半角错误。</explain>
      <paraID>45D318B1</paraID>
      <start>31</start>
      <end>32</end>
      <status>unmodified</status>
      <modifiedWord/>
      <trackRevisions>false</trackRevisions>
    </reviewItem>
    <reviewItem>
      <errorID>96de3bca-d7bd-442d-8f3d-8fb92983f5c6</errorID>
      <errorWord>(</errorWord>
      <group>L1_Punc</group>
      <groupName>标点问题</groupName>
      <ability>L2_Punc</ability>
      <abilityName>标点符号检查</abilityName>
      <candidateList/>
      <explain>同一形式括号套用。</explain>
      <paraID>45D318B1</paraID>
      <start>40</start>
      <end>41</end>
      <status>unmodified</status>
      <modifiedWord/>
      <trackRevisions>false</trackRevisions>
    </reviewItem>
    <reviewItem>
      <errorID>c0395b7d-aafe-42fb-b406-1d986ae240eb</errorID>
      <errorWord>)</errorWord>
      <group>L1_Punc</group>
      <groupName>标点问题</groupName>
      <ability>L2_Punc</ability>
      <abilityName>标点符号检查</abilityName>
      <candidateList/>
      <explain>同一形式括号套用。</explain>
      <paraID>45D318B1</paraID>
      <start>43</start>
      <end>44</end>
      <status>unmodified</status>
      <modifiedWord/>
      <trackRevisions>false</trackRevisions>
    </reviewItem>
    <reviewItem>
      <errorID>b3525179-1b7a-48e6-9007-2877f9ad2a82</errorID>
      <errorWord>)</errorWord>
      <group>L1_Format</group>
      <groupName>格式问题</groupName>
      <ability>L2_HalfPunc</ability>
      <abilityName>全半角检查</abilityName>
      <candidateList>
        <item>）</item>
      </candidateList>
      <explain>文本全半角错误。</explain>
      <paraID>45D318B1</paraID>
      <start>66</start>
      <end>67</end>
      <status>unmodified</status>
      <modifiedWord/>
      <trackRevisions>false</trackRevisions>
    </reviewItem>
    <reviewItem>
      <errorID>933a957c-2656-4de9-9fc6-21c9904c4b0c</errorID>
      <errorWord>;</errorWord>
      <group>L1_Format</group>
      <groupName>格式问题</groupName>
      <ability>L2_HalfPunc</ability>
      <abilityName>全半角检查</abilityName>
      <candidateList>
        <item>；</item>
      </candidateList>
      <explain>文本全半角错误。</explain>
      <paraID>629E0759</paraID>
      <start>38</start>
      <end>39</end>
      <status>unmodified</status>
      <modifiedWord/>
      <trackRevisions>false</trackRevisions>
    </reviewItem>
    <reviewItem>
      <errorID>b3f04c43-1611-4918-94d9-7bff0a89081a</errorID>
      <errorWord>;</errorWord>
      <group>L1_Format</group>
      <groupName>格式问题</groupName>
      <ability>L2_HalfPunc</ability>
      <abilityName>全半角检查</abilityName>
      <candidateList>
        <item>；</item>
      </candidateList>
      <explain>文本全半角错误。</explain>
      <paraID>2784B82D</paraID>
      <start>56</start>
      <end>57</end>
      <status>unmodified</status>
      <modifiedWord/>
      <trackRevisions>false</trackRevisions>
    </reviewItem>
    <reviewItem>
      <errorID>11834165-6991-4005-a8c2-4e1efbfc9e5e</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DF1A947</paraID>
      <start>9</start>
      <end>11</end>
      <status>unmodified</status>
      <modifiedWord/>
      <trackRevisions>false</trackRevisions>
    </reviewItem>
    <reviewItem>
      <errorID>4aba391a-5816-4436-a26a-d8ed1ae1a2c5</errorID>
      <errorWord>,</errorWord>
      <group>L1_Format</group>
      <groupName>格式问题</groupName>
      <ability>L2_HalfPunc</ability>
      <abilityName>全半角检查</abilityName>
      <candidateList>
        <item>，</item>
      </candidateList>
      <explain>文本全半角错误。</explain>
      <paraID> DF1A947</paraID>
      <start>18</start>
      <end>19</end>
      <status>unmodified</status>
      <modifiedWord/>
      <trackRevisions>false</trackRevisions>
    </reviewItem>
    <reviewItem>
      <errorID>7591b0c5-bd32-4a28-86f8-3e61c40dfb7a</errorID>
      <errorWord>,</errorWord>
      <group>L1_Format</group>
      <groupName>格式问题</groupName>
      <ability>L2_HalfPunc</ability>
      <abilityName>全半角检查</abilityName>
      <candidateList>
        <item>，</item>
      </candidateList>
      <explain>文本全半角错误。</explain>
      <paraID> DF1A947</paraID>
      <start>25</start>
      <end>26</end>
      <status>unmodified</status>
      <modifiedWord/>
      <trackRevisions>false</trackRevisions>
    </reviewItem>
    <reviewItem>
      <errorID>b9a818a0-3fff-4c4a-a3c9-b5054c178887</errorID>
      <errorWord>;</errorWord>
      <group>L1_Format</group>
      <groupName>格式问题</groupName>
      <ability>L2_HalfPunc</ability>
      <abilityName>全半角检查</abilityName>
      <candidateList>
        <item>；</item>
      </candidateList>
      <explain>文本全半角错误。</explain>
      <paraID> DF1A947</paraID>
      <start>44</start>
      <end>45</end>
      <status>unmodified</status>
      <modifiedWord/>
      <trackRevisions>false</trackRevisions>
    </reviewItem>
    <reviewItem>
      <errorID>752826c7-b1f8-4efe-85df-d78caa631b47</errorID>
      <errorWord>;</errorWord>
      <group>L1_Format</group>
      <groupName>格式问题</groupName>
      <ability>L2_HalfPunc</ability>
      <abilityName>全半角检查</abilityName>
      <candidateList>
        <item>；</item>
      </candidateList>
      <explain>文本全半角错误。</explain>
      <paraID>671A2AFF</paraID>
      <start>20</start>
      <end>21</end>
      <status>unmodified</status>
      <modifiedWord/>
      <trackRevisions>false</trackRevisions>
    </reviewItem>
    <reviewItem>
      <errorID>4407f215-ed39-4756-841a-d74c74f5849a</errorID>
      <errorWord>;</errorWord>
      <group>L1_Format</group>
      <groupName>格式问题</groupName>
      <ability>L2_HalfPunc</ability>
      <abilityName>全半角检查</abilityName>
      <candidateList>
        <item>；</item>
      </candidateList>
      <explain>文本全半角错误。</explain>
      <paraID>5B95870A</paraID>
      <start>16</start>
      <end>17</end>
      <status>unmodified</status>
      <modifiedWord/>
      <trackRevisions>false</trackRevisions>
    </reviewItem>
    <reviewItem>
      <errorID>952242ff-7ab9-48d6-8d28-18ec7ff0c31a</errorID>
      <errorWord>;</errorWord>
      <group>L1_Format</group>
      <groupName>格式问题</groupName>
      <ability>L2_HalfPunc</ability>
      <abilityName>全半角检查</abilityName>
      <candidateList>
        <item>；</item>
      </candidateList>
      <explain>文本全半角错误。</explain>
      <paraID>473B0F58</paraID>
      <start>38</start>
      <end>39</end>
      <status>unmodified</status>
      <modifiedWord/>
      <trackRevisions>false</trackRevisions>
    </reviewItem>
    <reviewItem>
      <errorID>fcd5c98d-5def-419c-bdb0-3fe811410408</errorID>
      <errorWord>;</errorWord>
      <group>L1_Format</group>
      <groupName>格式问题</groupName>
      <ability>L2_HalfPunc</ability>
      <abilityName>全半角检查</abilityName>
      <candidateList>
        <item>；</item>
      </candidateList>
      <explain>文本全半角错误。</explain>
      <paraID>4DDE7D15</paraID>
      <start>39</start>
      <end>40</end>
      <status>unmodified</status>
      <modifiedWord/>
      <trackRevisions>false</trackRevisions>
    </reviewItem>
    <reviewItem>
      <errorID>317ecad9-d784-49b2-a22f-47d423b2e66e</errorID>
      <errorWord>;</errorWord>
      <group>L1_Format</group>
      <groupName>格式问题</groupName>
      <ability>L2_HalfPunc</ability>
      <abilityName>全半角检查</abilityName>
      <candidateList>
        <item>；</item>
      </candidateList>
      <explain>文本全半角错误。</explain>
      <paraID>74E4AB86</paraID>
      <start>42</start>
      <end>43</end>
      <status>unmodified</status>
      <modifiedWord/>
      <trackRevisions>false</trackRevisions>
    </reviewItem>
    <reviewItem>
      <errorID>99888a1b-f293-43bc-849a-974c809b21aa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6086858A</paraID>
      <start>0</start>
      <end>3</end>
      <status>unmodified</status>
      <modifiedWord/>
      <trackRevisions>false</trackRevisions>
    </reviewItem>
    <reviewItem>
      <errorID>b74a9552-ab68-4538-b145-647a6ea3f0a3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A1D0F2C</paraID>
      <start>0</start>
      <end>3</end>
      <status>unmodified</status>
      <modifiedWord/>
      <trackRevisions>false</trackRevisions>
    </reviewItem>
    <reviewItem>
      <errorID>6cfe528e-984d-4c0a-be4a-af6b8e802f46</errorID>
      <errorWord>购并</errorWord>
      <group>L1_Word</group>
      <groupName>字词问题</groupName>
      <ability>L2_Typo</ability>
      <abilityName>字词错误</abilityName>
      <candidateList>
        <item>并购</item>
      </candidateList>
      <explain/>
      <paraID> A1D0F2C</paraID>
      <start>67</start>
      <end>69</end>
      <status>unmodified</status>
      <modifiedWord/>
      <trackRevisions>false</trackRevisions>
    </reviewItem>
    <reviewItem>
      <errorID>5c8d2661-a2cd-47da-8eab-d02aa138ec03</errorID>
      <errorWord>;</errorWord>
      <group>L1_Format</group>
      <groupName>格式问题</groupName>
      <ability>L2_HalfPunc</ability>
      <abilityName>全半角检查</abilityName>
      <candidateList>
        <item>；</item>
      </candidateList>
      <explain>文本全半角错误。</explain>
      <paraID> A1D0F2C</paraID>
      <start>110</start>
      <end>111</end>
      <status>unmodified</status>
      <modifiedWord/>
      <trackRevisions>false</trackRevisions>
    </reviewItem>
    <reviewItem>
      <errorID>e0d51fb9-92ae-4b94-83d3-c62b29f9e493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7CEF4C28</paraID>
      <start>0</start>
      <end>2</end>
      <status>unmodified</status>
      <modifiedWord/>
      <trackRevisions>false</trackRevisions>
    </reviewItem>
    <reviewItem>
      <errorID>0dde5ec9-5303-44b5-8827-9bc267c7721e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8FD6B7E</paraID>
      <start>0</start>
      <end>2</end>
      <status>unmodified</status>
      <modifiedWord/>
      <trackRevisions>false</trackRevisions>
    </reviewItem>
    <reviewItem>
      <errorID>748cb70a-c0af-40e4-aadc-f434a92ffa31</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5965EA75</paraID>
      <start>27</start>
      <end>29</end>
      <status>unmodified</status>
      <modifiedWord/>
      <trackRevisions>false</trackRevisions>
    </reviewItem>
    <reviewItem>
      <errorID>068ceaa8-2493-40d0-9f81-8480e53a425e</errorID>
      <errorWord>需具备</errorWord>
      <group>L1_Word</group>
      <groupName>字词问题</groupName>
      <ability>L2_Typo</ability>
      <abilityName>字词错误</abilityName>
      <candidateList>
        <item>须具备</item>
      </candidateList>
      <explain/>
      <paraID>26A2401E</paraID>
      <start>143</start>
      <end>146</end>
      <status>unmodified</status>
      <modifiedWord/>
      <trackRevisions>false</trackRevisions>
    </reviewItem>
    <reviewItem>
      <errorID>5ce2b87a-7652-4107-ae94-17a809e35cec</errorID>
      <errorWord>，</errorWord>
      <group>L1_Word</group>
      <groupName>字词问题</groupName>
      <ability>L2_Typo</ability>
      <abilityName>字词错误</abilityName>
      <candidateList>
        <item>，有</item>
      </candidateList>
      <explain/>
      <paraID>26A2401E</paraID>
      <start>164</start>
      <end>165</end>
      <status>unmodified</status>
      <modifiedWord/>
      <trackRevisions>false</trackRevisions>
    </reviewItem>
    <reviewItem>
      <errorID>bd021aa4-0e2b-4d88-8905-eb12fcb94dd7</errorID>
      <errorWord>必须的</errorWord>
      <group>L1_Word</group>
      <groupName>字词问题</groupName>
      <ability>L2_Alias</ability>
      <abilityName>也作/曾用词</abilityName>
      <candidateList>
        <item>必需的</item>
      </candidateList>
      <explain>词汇[必须的]为不规范表述或旧称，其规范书面表述为[必需的]。</explain>
      <paraID> 36F2E48</paraID>
      <start>24</start>
      <end>27</end>
      <status>unmodified</status>
      <modifiedWord/>
      <trackRevisions>false</trackRevisions>
    </reviewItem>
    <reviewItem>
      <errorID>1c41c6b7-33e5-40b1-9161-b4007fa8f90c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6B38A536</paraID>
      <start>0</start>
      <end>4</end>
      <status>modified</status>
      <modifiedWord>1.</modifiedWord>
      <trackRevisions>true</trackRevisions>
    </reviewItem>
    <reviewItem>
      <errorID>57715827-256c-4112-ab15-16b00d88dd18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74095856</paraID>
      <start>0</start>
      <end>2</end>
      <status>unmodified</status>
      <modifiedWord/>
      <trackRevisions>false</trackRevisions>
    </reviewItem>
    <reviewItem>
      <errorID>b2392b12-d5ab-4f08-965f-bde0c5b1e8d5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69E7D07</paraID>
      <start>0</start>
      <end>4</end>
      <status>modified</status>
      <modifiedWord>3.</modifiedWord>
      <trackRevisions>true</trackRevisions>
    </reviewItem>
    <reviewItem>
      <errorID>b6b05fc8-ea70-4244-8d7b-aabd3576f7f3</errorID>
      <errorWord>：</errorWord>
      <group>L1_Format</group>
      <groupName>格式问题</groupName>
      <ability>L2_HalfPunc</ability>
      <abilityName>全半角检查</abilityName>
      <candidateList>
        <item>:</item>
      </candidateList>
      <explain>文本全半角错误。</explain>
      <paraID> D0F0E26</paraID>
      <start>57</start>
      <end>59</end>
      <status>modified</status>
      <modifiedWord>:</modifiedWord>
      <trackRevisions>true</trackRevisions>
    </reviewItem>
    <reviewItem>
      <errorID>995214c9-0ebc-4caa-9dd9-598e0661530d</errorID>
      <errorWord>：</errorWord>
      <group>L1_Format</group>
      <groupName>格式问题</groupName>
      <ability>L2_HalfPunc</ability>
      <abilityName>全半角检查</abilityName>
      <candidateList>
        <item>:</item>
      </candidateList>
      <explain>文本全半角错误。</explain>
      <paraID> D0F0E26</paraID>
      <start>64</start>
      <end>66</end>
      <status>modified</status>
      <modifiedWord>:</modifiedWord>
      <trackRevisions>true</trackRevisions>
    </reviewItem>
    <reviewItem>
      <errorID>ff30160a-0e1a-433f-8df0-b10f486283a6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67EED1F2</paraID>
      <start>0</start>
      <end>4</end>
      <status>modified</status>
      <modifiedWord>1.</modifiedWord>
      <trackRevisions>true</trackRevisions>
    </reviewItem>
    <reviewItem>
      <errorID>71291097-e57e-4c8c-9e79-18a0e6db6e9a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3171588D</paraID>
      <start>0</start>
      <end>4</end>
      <status>modified</status>
      <modifiedWord>2.</modifiedWord>
      <trackRevisions>true</trackRevisions>
    </reviewItem>
    <reviewItem>
      <errorID>e40b304f-81cd-49fb-a50c-e5d52984a8a3</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84EBD4A</paraID>
      <start>0</start>
      <end>4</end>
      <status>modified</status>
      <modifiedWord>账号</modifiedWord>
      <trackRevisions>true</trackRevisions>
    </reviewItem>
    <reviewItem>
      <errorID>90655b57-63aa-4236-b71f-62b214c93fd7</errorID>
      <errorWord>帐号</errorWord>
      <group>L1_Word</group>
      <groupName>字词问题</groupName>
      <ability>L2_Typo</ability>
      <abilityName>字词错误</abilityName>
      <candidateList>
        <item>账号</item>
      </candidateList>
      <explain>〈名〉单位或个人跟银行建立经济关系后，银行在账上给该单位或个人编的号码。</explain>
      <paraID> 6D680A5</paraID>
      <start>0</start>
      <end>4</end>
      <status>modified</status>
      <modifiedWord>账号</modifiedWord>
      <trackRevisions>true</trackRevisions>
    </reviewItem>
    <reviewItem>
      <errorID>2be7fa5c-1f57-4b19-9e62-7b7aee32d343</errorID>
      <errorWord>制定计划</errorWord>
      <group>L1_Word</group>
      <groupName>字词问题</groupName>
      <ability>L2_Typo</ability>
      <abilityName>字词错误</abilityName>
      <candidateList>
        <item>制订计划</item>
      </candidateList>
      <explain/>
      <paraID>1B885F4C</paraID>
      <start>20</start>
      <end>24</end>
      <status>unmodified</status>
      <modifiedWord/>
      <trackRevisions>false</trackRevisions>
    </reviewItem>
    <reviewItem>
      <errorID>333a6932-d777-461d-8767-f7bf7b880792</errorID>
      <errorWord>法律、法规</errorWord>
      <group>L1_Word</group>
      <groupName>字词问题</groupName>
      <ability>L2_Typo</ability>
      <abilityName>字词错误</abilityName>
      <candidateList>
        <item>法律法规</item>
      </candidateList>
      <explain/>
      <paraID>62040F45</paraID>
      <start>32</start>
      <end>37</end>
      <status>unmodified</status>
      <modifiedWord/>
      <trackRevisions>false</trackRevisions>
    </reviewItem>
    <reviewItem>
      <errorID>0c31b6c5-8acc-4a11-8d1f-109a24c347d6</errorID>
      <errorWord>否</errorWord>
      <group>L1_Word</group>
      <groupName>字词问题</groupName>
      <ability>L2_Typo</ability>
      <abilityName>字词错误</abilityName>
      <candidateList>
        <item>否符</item>
      </candidateList>
      <explain/>
      <paraID>4EA9612C</paraID>
      <start>23</start>
      <end>24</end>
      <status>unmodified</status>
      <modifiedWord/>
      <trackRevisions>false</trackRevisions>
    </reviewItem>
    <reviewItem>
      <errorID>7cd232ed-c6d5-4c72-9db9-fbfbe603405a</errorID>
      <errorWord>企业国有资产法</errorWord>
      <group>L1_Knowledge</group>
      <groupName>知识性问题</groupName>
      <ability>L2_Knowledge</ability>
      <abilityName>其他知识</abilityName>
      <candidateList>
        <item>中华人民共和国企业国有资产法</item>
      </candidateList>
      <explain>当前法律法规名称使用简称，请注意是否应当使用全称。</explain>
      <paraID>5964B906</paraID>
      <start>22</start>
      <end>29</end>
      <status>unmodified</status>
      <modifiedWord/>
      <trackRevisions>false</trackRevisions>
    </reviewItem>
    <reviewItem>
      <errorID>611a0c62-9fd3-40c3-b360-e419cd7e2824</errorID>
      <errorWord>清新</errorWord>
      <group>L1_Word</group>
      <groupName>字词问题</groupName>
      <ability>L2_Typo</ability>
      <abilityName>字词错误</abilityName>
      <candidateList>
        <item>清晰</item>
      </candidateList>
      <explain/>
      <paraID>27F1E3A3</paraID>
      <start>34</start>
      <end>38</end>
      <status>modified</status>
      <modifiedWord>清晰</modifiedWord>
      <trackRevisions>true</trackRevisions>
    </reviewItem>
    <reviewItem>
      <errorID>45ee310a-2593-47fa-80b8-ee456608a96b</errorID>
      <errorWord>,</errorWord>
      <group>L1_Format</group>
      <groupName>格式问题</groupName>
      <ability>L2_HalfPunc</ability>
      <abilityName>全半角检查</abilityName>
      <candidateList>
        <item>，</item>
      </candidateList>
      <explain>文本全半角错误。</explain>
      <paraID>4D0057B0</paraID>
      <start>7</start>
      <end>8</end>
      <status>unmodified</status>
      <modifiedWord/>
      <trackRevisions>false</trackRevisions>
    </reviewItem>
    <reviewItem>
      <errorID>03d86191-da0b-4521-813f-8cbcf724734c</errorID>
      <errorWord>,</errorWord>
      <group>L1_Format</group>
      <groupName>格式问题</groupName>
      <ability>L2_HalfPunc</ability>
      <abilityName>全半角检查</abilityName>
      <candidateList>
        <item>，</item>
      </candidateList>
      <explain>文本全半角错误。</explain>
      <paraID>4D0057B0</paraID>
      <start>82</start>
      <end>83</end>
      <status>unmodified</status>
      <modifiedWord/>
      <trackRevisions>false</trackRevisions>
    </reviewItem>
    <reviewItem>
      <errorID>d106308a-9bfc-4078-9dcc-2c8d46c0392a</errorID>
      <errorWord>遇到</errorWord>
      <group>L1_Word</group>
      <groupName>字词问题</groupName>
      <ability>L2_Typo</ability>
      <abilityName>字词错误</abilityName>
      <candidateList>
        <item>遇</item>
      </candidateList>
      <explain/>
      <paraID>3916E698</paraID>
      <start>4</start>
      <end>6</end>
      <status>unmodified</status>
      <modifiedWord/>
      <trackRevisions>false</trackRevisions>
    </reviewItem>
    <reviewItem>
      <errorID>a825ffe4-d639-4d90-9d54-0a59ab5b8d35</errorID>
      <errorWord>下</errorWord>
      <group>L1_Word</group>
      <groupName>字词问题</groupName>
      <ability>L2_Typo</ability>
      <abilityName>字词错误</abilityName>
      <candidateList>
        <item>时</item>
      </candidateList>
      <explain>存在字形相近字词的误用。</explain>
      <paraID> 3A60B3B</paraID>
      <start>39</start>
      <end>41</end>
      <status>modified</status>
      <modifiedWord>时</modifiedWord>
      <trackRevisions>true</trackRevisions>
    </reviewItem>
    <reviewItem>
      <errorID>e7afde5a-063d-47b9-86dc-8ca31fcfc8ab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1B564647</paraID>
      <start>0</start>
      <end>4</end>
      <status>modified</status>
      <modifiedWord>1.</modifiedWord>
      <trackRevisions>true</trackRevisions>
    </reviewItem>
    <reviewItem>
      <errorID>6b80183e-b0d9-42b2-9ea5-25208dc13e66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4426911C</paraID>
      <start>0</start>
      <end>4</end>
      <status>modified</status>
      <modifiedWord>2.</modifiedWord>
      <trackRevisions>true</trackRevisions>
    </reviewItem>
    <reviewItem>
      <errorID>093097f4-8e5a-476d-a3ba-6b0641e1351b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175D7418</paraID>
      <start>0</start>
      <end>4</end>
      <status>modified</status>
      <modifiedWord>3.</modifiedWord>
      <trackRevisions>true</trackRevisions>
    </reviewItem>
    <reviewItem>
      <errorID>f77aa496-b755-43bf-ade9-a4b9e2c34f4b</errorID>
      <errorWord>法律、法规</errorWord>
      <group>L1_Word</group>
      <groupName>字词问题</groupName>
      <ability>L2_Typo</ability>
      <abilityName>字词错误</abilityName>
      <candidateList>
        <item>法律法规</item>
      </candidateList>
      <explain/>
      <paraID>6D17205F</paraID>
      <start>10</start>
      <end>15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853773-ad79-48a4-a023-8fe44b4eddd3}">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11126</Words>
  <Characters>11338</Characters>
  <Lines>25</Lines>
  <Paragraphs>7</Paragraphs>
  <TotalTime>3</TotalTime>
  <ScaleCrop>false</ScaleCrop>
  <LinksUpToDate>false</LinksUpToDate>
  <CharactersWithSpaces>12142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2020-05-29T16:43:00Z</dcterms:created>
  <dc:creator>勄怺逺嬡勄</dc:creator>
  <cp:lastModifiedBy>许曼莉</cp:lastModifiedBy>
  <dcterms:modified xsi:type="dcterms:W3CDTF">2026-03-11T08:51:17Z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84E9B6DAC32741FB8DB482050E43C636_13</vt:lpwstr>
  </property>
  <property fmtid="{D5CDD505-2E9C-101B-9397-08002B2CF9AE}" pid="4" name="KSOTemplateDocerSaveRecord">
    <vt:lpwstr>eyJoZGlkIjoiZGViODkwMDg4OTA0ZTY3NmQxNTQ4ODAxMDdjNzhkMGQiLCJ1c2VySWQiOiIxNjQxNDIwNjc1In0=</vt:lpwstr>
  </property>
</Properties>
</file>